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ectPr>
          <w:headerReference r:id="rId3" w:type="even"/>
          <w:pgSz w:w="11906" w:h="16838"/>
          <w:pgMar w:top="0" w:right="0" w:bottom="0" w:left="0" w:header="851" w:footer="992" w:gutter="0"/>
          <w:cols w:space="425" w:num="1"/>
          <w:titlePg/>
          <w:docGrid w:type="lines" w:linePitch="312" w:charSpace="0"/>
        </w:sectPr>
      </w:pPr>
      <w:r>
        <mc:AlternateContent>
          <mc:Choice Requires="wps">
            <w:drawing>
              <wp:anchor distT="0" distB="0" distL="114300" distR="114300" simplePos="0" relativeHeight="251662336" behindDoc="0" locked="0" layoutInCell="1" allowOverlap="1">
                <wp:simplePos x="0" y="0"/>
                <wp:positionH relativeFrom="column">
                  <wp:posOffset>426720</wp:posOffset>
                </wp:positionH>
                <wp:positionV relativeFrom="paragraph">
                  <wp:posOffset>3260725</wp:posOffset>
                </wp:positionV>
                <wp:extent cx="2040255" cy="883920"/>
                <wp:effectExtent l="0" t="3175" r="0" b="0"/>
                <wp:wrapNone/>
                <wp:docPr id="24" name="矩形 14"/>
                <wp:cNvGraphicFramePr/>
                <a:graphic xmlns:a="http://schemas.openxmlformats.org/drawingml/2006/main">
                  <a:graphicData uri="http://schemas.microsoft.com/office/word/2010/wordprocessingShape">
                    <wps:wsp>
                      <wps:cNvSpPr>
                        <a:spLocks noChangeArrowheads="1"/>
                      </wps:cNvSpPr>
                      <wps:spPr bwMode="auto">
                        <a:xfrm>
                          <a:off x="0" y="0"/>
                          <a:ext cx="2040255" cy="883920"/>
                        </a:xfrm>
                        <a:prstGeom prst="rect">
                          <a:avLst/>
                        </a:prstGeom>
                        <a:noFill/>
                        <a:ln>
                          <a:noFill/>
                        </a:ln>
                      </wps:spPr>
                      <wps:txbx>
                        <w:txbxContent>
                          <w:p>
                            <w:pPr>
                              <w:spacing w:line="360" w:lineRule="auto"/>
                              <w:jc w:val="center"/>
                              <w:rPr>
                                <w:kern w:val="0"/>
                                <w:sz w:val="28"/>
                                <w:szCs w:val="28"/>
                              </w:rPr>
                            </w:pPr>
                            <w:r>
                              <w:rPr>
                                <w:rFonts w:ascii="Yu Gothic UI Semibold" w:hAnsi="Yu Gothic UI Semibold" w:eastAsia="宋体"/>
                                <w:color w:val="FFFFFF"/>
                                <w:kern w:val="24"/>
                                <w:sz w:val="72"/>
                                <w:szCs w:val="72"/>
                              </w:rPr>
                              <w:t>209</w:t>
                            </w:r>
                          </w:p>
                        </w:txbxContent>
                      </wps:txbx>
                      <wps:bodyPr rot="0" vert="horz" wrap="square" lIns="91440" tIns="45720" rIns="91440" bIns="45720" anchor="t" anchorCtr="0" upright="1">
                        <a:spAutoFit/>
                      </wps:bodyPr>
                    </wps:wsp>
                  </a:graphicData>
                </a:graphic>
              </wp:anchor>
            </w:drawing>
          </mc:Choice>
          <mc:Fallback>
            <w:pict>
              <v:rect id="矩形 14" o:spid="_x0000_s1026" o:spt="1" style="position:absolute;left:0pt;margin-left:33.6pt;margin-top:256.75pt;height:69.6pt;width:160.65pt;z-index:251662336;mso-width-relative:page;mso-height-relative:page;" filled="f" stroked="f" coordsize="21600,21600" o:gfxdata="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alWpudkAAAAKAQAADwAAAAAAAAAB&#10;ACAAAAAiAAAAZHJzL2Rvd25yZXYueG1sUEsBAhQAFAAAAAgAh07iQBvMoUoPAgAACgQAAA4AAAAA&#10;AAAAAQAgAAAAKAEAAGRycy9lMm9Eb2MueG1sUEsFBgAAAAAGAAYAWQEAAKkFAAAAAA==&#10;">
                <v:fill on="f" focussize="0,0"/>
                <v:stroke on="f"/>
                <v:imagedata o:title=""/>
                <o:lock v:ext="edit" aspectratio="f"/>
                <v:textbox style="mso-fit-shape-to-text:t;">
                  <w:txbxContent>
                    <w:p>
                      <w:pPr>
                        <w:spacing w:line="360" w:lineRule="auto"/>
                        <w:jc w:val="center"/>
                        <w:rPr>
                          <w:kern w:val="0"/>
                          <w:sz w:val="28"/>
                          <w:szCs w:val="28"/>
                        </w:rPr>
                      </w:pPr>
                      <w:r>
                        <w:rPr>
                          <w:rFonts w:ascii="Yu Gothic UI Semibold" w:hAnsi="Yu Gothic UI Semibold" w:eastAsia="宋体"/>
                          <w:color w:val="FFFFFF"/>
                          <w:kern w:val="24"/>
                          <w:sz w:val="72"/>
                          <w:szCs w:val="72"/>
                        </w:rPr>
                        <w:t>209</w:t>
                      </w:r>
                    </w:p>
                  </w:txbxContent>
                </v:textbox>
              </v:rect>
            </w:pict>
          </mc:Fallback>
        </mc:AlternateContent>
      </w:r>
      <w:r>
        <mc:AlternateContent>
          <mc:Choice Requires="wpg">
            <w:drawing>
              <wp:anchor distT="0" distB="0" distL="114300" distR="114300" simplePos="0" relativeHeight="251660288" behindDoc="0" locked="0" layoutInCell="1" allowOverlap="1">
                <wp:simplePos x="0" y="0"/>
                <wp:positionH relativeFrom="column">
                  <wp:posOffset>15875</wp:posOffset>
                </wp:positionH>
                <wp:positionV relativeFrom="paragraph">
                  <wp:posOffset>10435590</wp:posOffset>
                </wp:positionV>
                <wp:extent cx="7559675" cy="272415"/>
                <wp:effectExtent l="0" t="0" r="0" b="0"/>
                <wp:wrapNone/>
                <wp:docPr id="20" name="Group 13"/>
                <wp:cNvGraphicFramePr/>
                <a:graphic xmlns:a="http://schemas.openxmlformats.org/drawingml/2006/main">
                  <a:graphicData uri="http://schemas.microsoft.com/office/word/2010/wordprocessingGroup">
                    <wpg:wgp>
                      <wpg:cNvGrpSpPr/>
                      <wpg:grpSpPr>
                        <a:xfrm>
                          <a:off x="0" y="0"/>
                          <a:ext cx="7559675" cy="272415"/>
                          <a:chOff x="1483" y="16692"/>
                          <a:chExt cx="11905" cy="429203"/>
                        </a:xfrm>
                      </wpg:grpSpPr>
                      <wps:wsp>
                        <wps:cNvPr id="21" name="矩形 6"/>
                        <wps:cNvSpPr>
                          <a:spLocks noChangeArrowheads="1"/>
                        </wps:cNvSpPr>
                        <wps:spPr bwMode="auto">
                          <a:xfrm>
                            <a:off x="1483" y="16692"/>
                            <a:ext cx="1125" cy="428"/>
                          </a:xfrm>
                          <a:prstGeom prst="rect">
                            <a:avLst/>
                          </a:prstGeom>
                          <a:solidFill>
                            <a:srgbClr val="FDBC11"/>
                          </a:solidFill>
                          <a:ln>
                            <a:noFill/>
                          </a:ln>
                        </wps:spPr>
                        <wps:bodyPr rot="0" vert="horz" wrap="square" lIns="91440" tIns="45720" rIns="91440" bIns="45720" anchor="ctr" anchorCtr="0" upright="1">
                          <a:noAutofit/>
                        </wps:bodyPr>
                      </wps:wsp>
                      <wps:wsp>
                        <wps:cNvPr id="22" name="矩形 7"/>
                        <wps:cNvSpPr>
                          <a:spLocks noChangeArrowheads="1"/>
                        </wps:cNvSpPr>
                        <wps:spPr bwMode="auto">
                          <a:xfrm>
                            <a:off x="2608" y="16693"/>
                            <a:ext cx="10780" cy="428"/>
                          </a:xfrm>
                          <a:prstGeom prst="rect">
                            <a:avLst/>
                          </a:prstGeom>
                          <a:solidFill>
                            <a:srgbClr val="1F2959"/>
                          </a:solidFill>
                          <a:ln>
                            <a:noFill/>
                          </a:ln>
                        </wps:spPr>
                        <wps:bodyPr rot="0" vert="horz" wrap="square" lIns="91440" tIns="45720" rIns="91440" bIns="45720" anchor="ctr" anchorCtr="0" upright="1">
                          <a:noAutofit/>
                        </wps:bodyPr>
                      </wps:wsp>
                    </wpg:wgp>
                  </a:graphicData>
                </a:graphic>
              </wp:anchor>
            </w:drawing>
          </mc:Choice>
          <mc:Fallback>
            <w:pict>
              <v:group id="Group 13" o:spid="_x0000_s1026" o:spt="203" style="position:absolute;left:0pt;margin-left:1.25pt;margin-top:821.7pt;height:21.45pt;width:595.25pt;z-index:251660288;mso-width-relative:page;mso-height-relative:page;" coordorigin="1483,16692" coordsize="11905,429203" o:gfxdata="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">
                <o:lock v:ext="edit" aspectratio="f"/>
                <v:rect id="矩形 6" o:spid="_x0000_s1026" o:spt="1" style="position:absolute;left:1483;top:16692;height:428;width:1125;v-text-anchor:middle;" fillcolor="#FDBC11" filled="t" stroked="f" coordsize="21600,21600" o:gfxdata="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Hpgn28AAAA&#10;2wAAAA8AAAAAAAAAAQAgAAAAIgAAAGRycy9kb3ducmV2LnhtbFBLAQIUABQAAAAIAIdO4kAzLwWe&#10;OwAAADkAAAAQAAAAAAAAAAEAIAAAAAsBAABkcnMvc2hhcGV4bWwueG1sUEsFBgAAAAAGAAYAWwEA&#10;ALUDAAAAAA==&#10;">
                  <v:fill on="t" focussize="0,0"/>
                  <v:stroke on="f"/>
                  <v:imagedata o:title=""/>
                  <o:lock v:ext="edit" aspectratio="f"/>
                </v:rect>
                <v:rect id="矩形 7" o:spid="_x0000_s1026" o:spt="1" style="position:absolute;left:2608;top:16693;height:428;width:10780;v-text-anchor:middle;" fillcolor="#1F2959" filled="t" stroked="f" coordsize="21600,21600" o:gfxdata="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l4bs/vQAA&#10;ANsAAAAPAAAAAAAAAAEAIAAAACIAAABkcnMvZG93bnJldi54bWxQSwECFAAUAAAACACHTuJAMy8F&#10;njsAAAA5AAAAEAAAAAAAAAABACAAAAAMAQAAZHJzL3NoYXBleG1sLnhtbFBLBQYAAAAABgAGAFsB&#10;AAC2AwAAAAA=&#10;">
                  <v:fill on="t" focussize="0,0"/>
                  <v:stroke on="f"/>
                  <v:imagedata o:title=""/>
                  <o:lock v:ext="edit" aspectratio="f"/>
                </v:rect>
              </v:group>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2346325</wp:posOffset>
                </wp:positionH>
                <wp:positionV relativeFrom="paragraph">
                  <wp:posOffset>3639820</wp:posOffset>
                </wp:positionV>
                <wp:extent cx="297815" cy="289560"/>
                <wp:effectExtent l="3175" t="1270" r="0" b="1905"/>
                <wp:wrapNone/>
                <wp:docPr id="16" name="矩形 11"/>
                <wp:cNvGraphicFramePr/>
                <a:graphic xmlns:a="http://schemas.openxmlformats.org/drawingml/2006/main">
                  <a:graphicData uri="http://schemas.microsoft.com/office/word/2010/wordprocessingShape">
                    <wps:wsp>
                      <wps:cNvSpPr>
                        <a:spLocks noChangeArrowheads="1"/>
                      </wps:cNvSpPr>
                      <wps:spPr bwMode="auto">
                        <a:xfrm>
                          <a:off x="0" y="0"/>
                          <a:ext cx="297815" cy="289560"/>
                        </a:xfrm>
                        <a:prstGeom prst="rect">
                          <a:avLst/>
                        </a:prstGeom>
                        <a:noFill/>
                        <a:ln>
                          <a:noFill/>
                        </a:ln>
                      </wps:spPr>
                      <wps:txbx>
                        <w:txbxContent>
                          <w:p/>
                        </w:txbxContent>
                      </wps:txbx>
                      <wps:bodyPr rot="0" vert="horz" wrap="none" lIns="91440" tIns="45720" rIns="91440" bIns="45720" anchor="t" anchorCtr="0" upright="1">
                        <a:spAutoFit/>
                      </wps:bodyPr>
                    </wps:wsp>
                  </a:graphicData>
                </a:graphic>
              </wp:anchor>
            </w:drawing>
          </mc:Choice>
          <mc:Fallback>
            <w:pict>
              <v:rect id="矩形 11" o:spid="_x0000_s1026" o:spt="1" style="position:absolute;left:0pt;margin-left:184.75pt;margin-top:286.6pt;height:22.8pt;width:23.45pt;mso-wrap-style:none;z-index:251661312;mso-width-relative:page;mso-height-relative:page;" filled="f" stroked="f" coordsize="21600,21600" o:gfxdata="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TpCBK2wAAAAsBAAAPAAAAAAAAAAEA&#10;IAAAACIAAABkcnMvZG93bnJldi54bWxQSwECFAAUAAAACACHTuJASB4NxwwCAAAHBAAADgAAAAAA&#10;AAABACAAAAAqAQAAZHJzL2Uyb0RvYy54bWxQSwUGAAAAAAYABgBZAQAAqAUAAAAA&#10;">
                <v:fill on="f" focussize="0,0"/>
                <v:stroke on="f"/>
                <v:imagedata o:title=""/>
                <o:lock v:ext="edit" aspectratio="f"/>
                <v:textbox style="mso-fit-shape-to-text:t;">
                  <w:txbxContent>
                    <w:p/>
                  </w:txbxContent>
                </v:textbox>
              </v:rect>
            </w:pict>
          </mc:Fallback>
        </mc:AlternateContent>
      </w:r>
    </w:p>
    <w:p>
      <w:pPr>
        <w:rPr>
          <w:rFonts w:ascii="黑体" w:hAnsi="黑体" w:eastAsia="黑体" w:cs="黑体"/>
          <w:sz w:val="56"/>
          <w:szCs w:val="72"/>
        </w:rPr>
      </w:pPr>
    </w:p>
    <w:p>
      <w:pPr>
        <w:tabs>
          <w:tab w:val="left" w:pos="2728"/>
        </w:tabs>
        <w:rPr>
          <w:rFonts w:ascii="黑体" w:hAnsi="Times New Roman" w:eastAsia="黑体"/>
          <w:sz w:val="48"/>
          <w:szCs w:val="48"/>
        </w:rPr>
      </w:pPr>
      <w:r>
        <w:rPr>
          <w:rFonts w:ascii="黑体" w:hAnsi="Times New Roman" w:eastAsia="黑体"/>
          <w:sz w:val="48"/>
          <w:szCs w:val="48"/>
        </w:rPr>
        <w:tab/>
      </w:r>
    </w:p>
    <w:p>
      <w:pPr>
        <w:rPr>
          <w:rFonts w:ascii="黑体" w:hAnsi="黑体" w:eastAsia="黑体" w:cs="黑体"/>
          <w:sz w:val="56"/>
          <w:szCs w:val="72"/>
        </w:rPr>
      </w:pPr>
    </w:p>
    <w:p>
      <w:pPr>
        <w:rPr>
          <w:rFonts w:ascii="黑体" w:hAnsi="黑体" w:eastAsia="黑体" w:cs="黑体"/>
          <w:sz w:val="56"/>
          <w:szCs w:val="72"/>
        </w:rPr>
      </w:pPr>
    </w:p>
    <w:p>
      <w:pPr>
        <w:jc w:val="center"/>
        <w:rPr>
          <w:rFonts w:ascii="黑体" w:hAnsi="黑体" w:eastAsia="黑体" w:cs="黑体"/>
          <w:b/>
          <w:bCs/>
          <w:sz w:val="72"/>
          <w:szCs w:val="96"/>
        </w:rPr>
      </w:pPr>
      <w:r>
        <w:rPr>
          <w:rFonts w:ascii="黑体" w:hAnsi="黑体" w:eastAsia="黑体" w:cs="黑体"/>
          <w:b/>
          <w:bCs/>
          <w:sz w:val="72"/>
          <w:szCs w:val="96"/>
        </w:rPr>
        <w:t>2019</w:t>
      </w:r>
      <w:r>
        <w:rPr>
          <w:rFonts w:hint="eastAsia" w:ascii="黑体" w:hAnsi="黑体" w:eastAsia="黑体" w:cs="黑体"/>
          <w:b/>
          <w:bCs/>
          <w:sz w:val="72"/>
          <w:szCs w:val="96"/>
        </w:rPr>
        <w:t>年度顺平县财政局</w:t>
      </w:r>
    </w:p>
    <w:p>
      <w:pPr>
        <w:jc w:val="center"/>
        <w:rPr>
          <w:rFonts w:ascii="黑体" w:hAnsi="黑体" w:eastAsia="黑体" w:cs="黑体"/>
          <w:b/>
          <w:bCs/>
          <w:sz w:val="72"/>
          <w:szCs w:val="96"/>
        </w:rPr>
      </w:pPr>
      <w:r>
        <w:rPr>
          <w:rFonts w:hint="eastAsia" w:ascii="黑体" w:hAnsi="黑体" w:eastAsia="黑体" w:cs="黑体"/>
          <w:b/>
          <w:bCs/>
          <w:sz w:val="72"/>
          <w:szCs w:val="96"/>
        </w:rPr>
        <w:t>部门决算公开文本</w:t>
      </w:r>
    </w:p>
    <w:p>
      <w:pPr>
        <w:spacing w:line="36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napToGrid w:val="0"/>
        <w:spacing w:line="480" w:lineRule="auto"/>
        <w:jc w:val="center"/>
        <w:rPr>
          <w:rFonts w:ascii="黑体" w:hAnsi="黑体" w:eastAsia="黑体" w:cs="黑体"/>
          <w:sz w:val="56"/>
          <w:szCs w:val="72"/>
        </w:rPr>
      </w:pPr>
    </w:p>
    <w:p>
      <w:pPr>
        <w:snapToGrid w:val="0"/>
        <w:jc w:val="center"/>
        <w:rPr>
          <w:rFonts w:ascii="楷体_GB2312" w:hAnsi="楷体_GB2312" w:eastAsia="楷体_GB2312" w:cs="楷体_GB2312"/>
          <w:color w:val="000000"/>
          <w:kern w:val="0"/>
          <w:sz w:val="44"/>
          <w:szCs w:val="44"/>
        </w:rPr>
      </w:pPr>
      <w:r>
        <w:rPr>
          <w:rFonts w:hint="eastAsia" w:ascii="楷体_GB2312" w:hAnsi="楷体_GB2312" w:eastAsia="楷体_GB2312" w:cs="楷体_GB2312"/>
          <w:color w:val="000000"/>
          <w:kern w:val="0"/>
          <w:sz w:val="44"/>
          <w:szCs w:val="44"/>
        </w:rPr>
        <w:t>顺平县财政局</w:t>
      </w:r>
    </w:p>
    <w:p>
      <w:pPr>
        <w:snapToGrid w:val="0"/>
        <w:jc w:val="center"/>
        <w:rPr>
          <w:rFonts w:ascii="楷体_GB2312" w:hAnsi="楷体_GB2312" w:eastAsia="楷体_GB2312" w:cs="楷体_GB2312"/>
          <w:color w:val="000000"/>
          <w:kern w:val="0"/>
          <w:sz w:val="44"/>
          <w:szCs w:val="44"/>
        </w:rPr>
        <w:sectPr>
          <w:headerReference r:id="rId5" w:type="first"/>
          <w:footerReference r:id="rId6" w:type="first"/>
          <w:headerReference r:id="rId4" w:type="default"/>
          <w:type w:val="continuous"/>
          <w:pgSz w:w="11906" w:h="16838"/>
          <w:pgMar w:top="2041" w:right="1531" w:bottom="2041" w:left="1531" w:header="851" w:footer="992" w:gutter="0"/>
          <w:cols w:space="0" w:num="1"/>
          <w:titlePg/>
          <w:docGrid w:type="lines" w:linePitch="312" w:charSpace="0"/>
        </w:sectPr>
      </w:pPr>
      <w:r>
        <w:rPr>
          <w:rFonts w:hint="eastAsia" w:ascii="楷体_GB2312" w:hAnsi="楷体_GB2312" w:eastAsia="楷体_GB2312" w:cs="楷体_GB2312"/>
          <w:color w:val="000000"/>
          <w:kern w:val="0"/>
          <w:sz w:val="44"/>
          <w:szCs w:val="44"/>
        </w:rPr>
        <w:t>二〇二〇年九月</w:t>
      </w:r>
    </w:p>
    <w:p>
      <w:pPr>
        <w:widowControl/>
        <w:spacing w:line="600" w:lineRule="exact"/>
        <w:jc w:val="left"/>
        <w:rPr>
          <w:rFonts w:ascii="黑体" w:hAnsi="黑体" w:eastAsia="黑体" w:cs="黑体"/>
          <w:bCs/>
          <w:sz w:val="32"/>
          <w:szCs w:val="32"/>
          <w:highlight w:val="yellow"/>
        </w:rPr>
      </w:pPr>
    </w:p>
    <w:p>
      <w:pPr>
        <w:tabs>
          <w:tab w:val="left" w:pos="2728"/>
        </w:tabs>
        <w:jc w:val="center"/>
        <w:rPr>
          <w:rFonts w:ascii="黑体" w:hAnsi="黑体" w:eastAsia="黑体" w:cs="黑体"/>
          <w:bCs/>
          <w:sz w:val="32"/>
          <w:szCs w:val="32"/>
        </w:rPr>
      </w:pPr>
    </w:p>
    <w:p>
      <w:pPr>
        <w:tabs>
          <w:tab w:val="left" w:pos="2728"/>
        </w:tabs>
        <w:jc w:val="center"/>
        <w:rPr>
          <w:rFonts w:ascii="黑体" w:hAnsi="黑体" w:eastAsia="黑体" w:cs="黑体"/>
          <w:bCs/>
          <w:sz w:val="32"/>
          <w:szCs w:val="32"/>
        </w:rPr>
      </w:pPr>
    </w:p>
    <w:p>
      <w:pPr>
        <w:tabs>
          <w:tab w:val="left" w:pos="2728"/>
        </w:tabs>
        <w:jc w:val="center"/>
        <w:rPr>
          <w:rFonts w:ascii="黑体" w:hAnsi="Times New Roman" w:eastAsia="黑体"/>
          <w:sz w:val="48"/>
          <w:szCs w:val="48"/>
        </w:rPr>
      </w:pPr>
    </w:p>
    <w:p>
      <w:pPr>
        <w:tabs>
          <w:tab w:val="left" w:pos="2728"/>
        </w:tabs>
        <w:jc w:val="center"/>
        <w:rPr>
          <w:rFonts w:ascii="黑体" w:hAnsi="Times New Roman" w:eastAsia="黑体"/>
          <w:sz w:val="48"/>
          <w:szCs w:val="48"/>
        </w:rPr>
      </w:pPr>
      <w:r>
        <w:rPr>
          <w:rFonts w:hint="eastAsia" w:ascii="黑体" w:hAnsi="Times New Roman" w:eastAsia="黑体"/>
          <w:sz w:val="48"/>
          <w:szCs w:val="48"/>
        </w:rPr>
        <w:t>目</w:t>
      </w:r>
      <w:r>
        <w:rPr>
          <w:rFonts w:ascii="黑体" w:hAnsi="Times New Roman" w:eastAsia="黑体"/>
          <w:sz w:val="48"/>
          <w:szCs w:val="48"/>
        </w:rPr>
        <w:t xml:space="preserve">    </w:t>
      </w:r>
      <w:r>
        <w:rPr>
          <w:rFonts w:hint="eastAsia" w:ascii="黑体" w:hAnsi="Times New Roman" w:eastAsia="黑体"/>
          <w:sz w:val="48"/>
          <w:szCs w:val="48"/>
        </w:rPr>
        <w:t>录</w:t>
      </w:r>
    </w:p>
    <w:p>
      <w:pPr>
        <w:widowControl/>
        <w:spacing w:after="160" w:line="580" w:lineRule="exact"/>
        <w:ind w:firstLine="640" w:firstLineChars="200"/>
        <w:rPr>
          <w:rFonts w:ascii="Times New Roman" w:hAnsi="Times New Roman" w:eastAsia="黑体"/>
          <w:sz w:val="32"/>
          <w:szCs w:val="32"/>
        </w:rPr>
      </w:pPr>
    </w:p>
    <w:p>
      <w:pPr>
        <w:widowControl/>
        <w:spacing w:after="160" w:line="580" w:lineRule="exact"/>
        <w:ind w:firstLine="640" w:firstLineChars="200"/>
        <w:rPr>
          <w:rFonts w:ascii="Times New Roman" w:hAnsi="Times New Roman" w:eastAsia="仿宋_GB2312"/>
          <w:sz w:val="24"/>
          <w:szCs w:val="32"/>
        </w:rPr>
      </w:pPr>
      <w:r>
        <w:rPr>
          <w:rFonts w:hint="eastAsia" w:ascii="Times New Roman" w:hAnsi="Times New Roman" w:eastAsia="黑体"/>
          <w:sz w:val="32"/>
          <w:szCs w:val="32"/>
        </w:rPr>
        <w:t>第一部分</w:t>
      </w:r>
      <w:r>
        <w:rPr>
          <w:rFonts w:ascii="Times New Roman" w:hAnsi="Times New Roman" w:eastAsia="黑体"/>
          <w:sz w:val="32"/>
          <w:szCs w:val="32"/>
        </w:rPr>
        <w:t xml:space="preserve">   </w:t>
      </w:r>
      <w:r>
        <w:rPr>
          <w:rFonts w:hint="eastAsia" w:ascii="Times New Roman" w:hAnsi="Times New Roman" w:eastAsia="黑体"/>
          <w:sz w:val="32"/>
          <w:szCs w:val="32"/>
        </w:rPr>
        <w:t>部门概况</w:t>
      </w:r>
    </w:p>
    <w:p>
      <w:pPr>
        <w:widowControl/>
        <w:spacing w:after="160" w:line="580" w:lineRule="exact"/>
        <w:ind w:firstLine="1273" w:firstLineChars="398"/>
        <w:rPr>
          <w:rFonts w:ascii="Times New Roman" w:hAnsi="Times New Roman" w:eastAsia="仿宋_GB2312"/>
          <w:sz w:val="32"/>
          <w:szCs w:val="32"/>
        </w:rPr>
      </w:pPr>
      <w:r>
        <w:rPr>
          <w:rFonts w:hint="eastAsia" w:ascii="Times New Roman" w:hAnsi="Times New Roman" w:eastAsia="仿宋_GB2312"/>
          <w:sz w:val="32"/>
          <w:szCs w:val="32"/>
        </w:rPr>
        <w:t>一、部门职责</w:t>
      </w:r>
    </w:p>
    <w:p>
      <w:pPr>
        <w:widowControl/>
        <w:spacing w:after="160" w:line="580" w:lineRule="exact"/>
        <w:ind w:firstLine="1273" w:firstLineChars="398"/>
        <w:rPr>
          <w:rFonts w:ascii="Times New Roman" w:hAnsi="Times New Roman" w:eastAsia="仿宋_GB2312"/>
          <w:sz w:val="32"/>
          <w:szCs w:val="32"/>
        </w:rPr>
      </w:pPr>
      <w:r>
        <w:rPr>
          <w:rFonts w:hint="eastAsia" w:ascii="Times New Roman" w:hAnsi="Times New Roman" w:eastAsia="仿宋_GB2312"/>
          <w:sz w:val="32"/>
          <w:szCs w:val="32"/>
        </w:rPr>
        <w:t>二、机构设置</w:t>
      </w:r>
    </w:p>
    <w:p>
      <w:pPr>
        <w:widowControl/>
        <w:spacing w:after="160" w:line="5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第二部分</w:t>
      </w:r>
      <w:r>
        <w:rPr>
          <w:rFonts w:ascii="Times New Roman" w:hAnsi="Times New Roman" w:eastAsia="黑体"/>
          <w:sz w:val="32"/>
          <w:szCs w:val="32"/>
        </w:rPr>
        <w:t xml:space="preserve">   2019</w:t>
      </w:r>
      <w:r>
        <w:rPr>
          <w:rFonts w:hint="eastAsia" w:ascii="Times New Roman" w:hAnsi="Times New Roman" w:eastAsia="黑体"/>
          <w:sz w:val="32"/>
          <w:szCs w:val="32"/>
        </w:rPr>
        <w:t>年部门决算情况说明</w:t>
      </w:r>
    </w:p>
    <w:p>
      <w:pPr>
        <w:widowControl/>
        <w:spacing w:after="160" w:line="580" w:lineRule="exact"/>
        <w:ind w:left="640" w:firstLine="640" w:firstLineChars="200"/>
        <w:rPr>
          <w:rFonts w:ascii="Times New Roman" w:hAnsi="Times New Roman" w:eastAsia="仿宋_GB2312"/>
          <w:sz w:val="32"/>
          <w:szCs w:val="32"/>
        </w:rPr>
      </w:pPr>
      <w:r>
        <w:rPr>
          <w:rFonts w:hint="eastAsia" w:ascii="Times New Roman" w:hAnsi="Times New Roman" w:eastAsia="仿宋_GB2312"/>
          <w:sz w:val="32"/>
          <w:szCs w:val="32"/>
        </w:rPr>
        <w:t>一、收入支出决算总体情况说明</w:t>
      </w:r>
    </w:p>
    <w:p>
      <w:pPr>
        <w:widowControl/>
        <w:spacing w:after="160" w:line="580" w:lineRule="exact"/>
        <w:ind w:left="640" w:firstLine="640" w:firstLineChars="200"/>
        <w:rPr>
          <w:rFonts w:ascii="Times New Roman" w:hAnsi="Times New Roman" w:eastAsia="仿宋_GB2312"/>
          <w:sz w:val="32"/>
          <w:szCs w:val="32"/>
        </w:rPr>
      </w:pPr>
      <w:r>
        <w:rPr>
          <w:rFonts w:hint="eastAsia" w:ascii="Times New Roman" w:hAnsi="Times New Roman" w:eastAsia="仿宋_GB2312"/>
          <w:sz w:val="32"/>
          <w:szCs w:val="32"/>
        </w:rPr>
        <w:t>二、收入决算情况说明</w:t>
      </w:r>
    </w:p>
    <w:p>
      <w:pPr>
        <w:widowControl/>
        <w:spacing w:after="160" w:line="580" w:lineRule="exact"/>
        <w:ind w:left="640" w:firstLine="640" w:firstLineChars="200"/>
        <w:rPr>
          <w:rFonts w:ascii="Times New Roman" w:hAnsi="Times New Roman" w:eastAsia="仿宋_GB2312"/>
          <w:sz w:val="32"/>
          <w:szCs w:val="32"/>
        </w:rPr>
      </w:pPr>
      <w:r>
        <w:rPr>
          <w:rFonts w:hint="eastAsia" w:ascii="Times New Roman" w:hAnsi="Times New Roman" w:eastAsia="仿宋_GB2312"/>
          <w:sz w:val="32"/>
          <w:szCs w:val="32"/>
        </w:rPr>
        <w:t>三、支出决算情况说明</w:t>
      </w:r>
    </w:p>
    <w:p>
      <w:pPr>
        <w:widowControl/>
        <w:spacing w:after="160" w:line="580" w:lineRule="exact"/>
        <w:ind w:left="640" w:firstLine="640" w:firstLineChars="200"/>
        <w:rPr>
          <w:rFonts w:ascii="Times New Roman" w:hAnsi="Times New Roman" w:eastAsia="仿宋_GB2312"/>
          <w:sz w:val="32"/>
          <w:szCs w:val="32"/>
        </w:rPr>
      </w:pPr>
      <w:r>
        <w:rPr>
          <w:rFonts w:hint="eastAsia" w:ascii="Times New Roman" w:hAnsi="Times New Roman" w:eastAsia="仿宋_GB2312"/>
          <w:sz w:val="32"/>
          <w:szCs w:val="32"/>
        </w:rPr>
        <w:t>四、财政拨款收入支出决算总体情况说明</w:t>
      </w:r>
    </w:p>
    <w:p>
      <w:pPr>
        <w:widowControl/>
        <w:spacing w:after="160" w:line="580" w:lineRule="exact"/>
        <w:ind w:left="640" w:firstLine="640" w:firstLineChars="200"/>
        <w:rPr>
          <w:rFonts w:ascii="Times New Roman" w:hAnsi="Times New Roman" w:eastAsia="仿宋_GB2312"/>
          <w:sz w:val="32"/>
          <w:szCs w:val="32"/>
        </w:rPr>
      </w:pPr>
      <w:r>
        <w:rPr>
          <w:rFonts w:hint="eastAsia" w:ascii="Times New Roman" w:hAnsi="Times New Roman" w:eastAsia="仿宋_GB2312"/>
          <w:sz w:val="32"/>
          <w:szCs w:val="32"/>
        </w:rPr>
        <w:t>五、一般公共预算</w:t>
      </w:r>
      <w:r>
        <w:rPr>
          <w:rFonts w:ascii="Times New Roman" w:hAnsi="Times New Roman" w:eastAsia="仿宋_GB2312"/>
          <w:sz w:val="32"/>
          <w:szCs w:val="32"/>
        </w:rPr>
        <w:t>“</w:t>
      </w:r>
      <w:r>
        <w:rPr>
          <w:rFonts w:hint="eastAsia" w:ascii="Times New Roman" w:hAnsi="Times New Roman" w:eastAsia="仿宋_GB2312"/>
          <w:sz w:val="32"/>
          <w:szCs w:val="32"/>
        </w:rPr>
        <w:t>三公</w:t>
      </w:r>
      <w:r>
        <w:rPr>
          <w:rFonts w:ascii="Times New Roman" w:hAnsi="Times New Roman" w:eastAsia="仿宋_GB2312"/>
          <w:sz w:val="32"/>
          <w:szCs w:val="32"/>
        </w:rPr>
        <w:t>”</w:t>
      </w:r>
      <w:r>
        <w:rPr>
          <w:rFonts w:hint="eastAsia" w:ascii="Times New Roman" w:hAnsi="Times New Roman" w:eastAsia="仿宋_GB2312"/>
          <w:sz w:val="32"/>
          <w:szCs w:val="32"/>
        </w:rPr>
        <w:t>经费支出决算情况说明</w:t>
      </w:r>
    </w:p>
    <w:p>
      <w:pPr>
        <w:widowControl/>
        <w:spacing w:after="160" w:line="580" w:lineRule="exact"/>
        <w:ind w:left="640" w:firstLine="640" w:firstLineChars="200"/>
        <w:rPr>
          <w:rFonts w:ascii="Times New Roman" w:hAnsi="Times New Roman" w:eastAsia="仿宋_GB2312"/>
          <w:sz w:val="32"/>
          <w:szCs w:val="32"/>
        </w:rPr>
      </w:pPr>
      <w:r>
        <w:rPr>
          <w:rFonts w:hint="eastAsia" w:ascii="Times New Roman" w:hAnsi="Times New Roman" w:eastAsia="仿宋_GB2312"/>
          <w:sz w:val="32"/>
          <w:szCs w:val="32"/>
        </w:rPr>
        <w:t>六、预算绩效情况说明</w:t>
      </w:r>
    </w:p>
    <w:p>
      <w:pPr>
        <w:widowControl/>
        <w:spacing w:after="160" w:line="580" w:lineRule="exact"/>
        <w:ind w:left="640" w:firstLine="640" w:firstLineChars="200"/>
        <w:rPr>
          <w:rFonts w:ascii="Times New Roman" w:hAnsi="Times New Roman" w:eastAsia="仿宋_GB2312"/>
          <w:sz w:val="32"/>
          <w:szCs w:val="32"/>
        </w:rPr>
      </w:pPr>
      <w:r>
        <w:rPr>
          <w:rFonts w:hint="eastAsia" w:ascii="Times New Roman" w:hAnsi="Times New Roman" w:eastAsia="仿宋_GB2312"/>
          <w:sz w:val="32"/>
          <w:szCs w:val="32"/>
        </w:rPr>
        <w:t>七、其他重要事项的说明</w:t>
      </w:r>
    </w:p>
    <w:p>
      <w:pPr>
        <w:widowControl/>
        <w:spacing w:after="160" w:line="5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第三部分</w:t>
      </w:r>
      <w:r>
        <w:rPr>
          <w:rFonts w:ascii="Times New Roman" w:hAnsi="Times New Roman" w:eastAsia="黑体"/>
          <w:sz w:val="32"/>
          <w:szCs w:val="32"/>
        </w:rPr>
        <w:t xml:space="preserve">  </w:t>
      </w:r>
      <w:r>
        <w:rPr>
          <w:rFonts w:hint="eastAsia" w:ascii="Times New Roman" w:hAnsi="Times New Roman" w:eastAsia="黑体"/>
          <w:sz w:val="32"/>
          <w:szCs w:val="32"/>
        </w:rPr>
        <w:t>名词解释</w:t>
      </w:r>
    </w:p>
    <w:p>
      <w:pPr>
        <w:widowControl/>
        <w:spacing w:after="160" w:line="580" w:lineRule="exact"/>
        <w:ind w:firstLine="640" w:firstLineChars="200"/>
        <w:rPr>
          <w:rFonts w:ascii="Times New Roman" w:hAnsi="Times New Roman" w:eastAsia="仿宋_GB2312"/>
          <w:sz w:val="20"/>
          <w:szCs w:val="32"/>
        </w:rPr>
      </w:pPr>
      <w:r>
        <w:rPr>
          <w:rFonts w:hint="eastAsia" w:ascii="Times New Roman" w:hAnsi="Times New Roman" w:eastAsia="黑体"/>
          <w:sz w:val="32"/>
          <w:szCs w:val="32"/>
        </w:rPr>
        <w:t>第四部分</w:t>
      </w:r>
      <w:r>
        <w:rPr>
          <w:rFonts w:ascii="Times New Roman" w:hAnsi="Times New Roman" w:eastAsia="黑体"/>
          <w:sz w:val="32"/>
          <w:szCs w:val="32"/>
        </w:rPr>
        <w:t xml:space="preserve">  2019</w:t>
      </w:r>
      <w:r>
        <w:rPr>
          <w:rFonts w:hint="eastAsia" w:ascii="Times New Roman" w:hAnsi="Times New Roman" w:eastAsia="黑体"/>
          <w:sz w:val="32"/>
          <w:szCs w:val="32"/>
        </w:rPr>
        <w:t>年度部门决算报表</w:t>
      </w:r>
    </w:p>
    <w:p>
      <w:pPr>
        <w:widowControl/>
        <w:spacing w:after="160" w:line="580" w:lineRule="exact"/>
        <w:ind w:firstLine="640" w:firstLineChars="200"/>
        <w:rPr>
          <w:rFonts w:ascii="Times New Roman" w:hAnsi="Times New Roman" w:eastAsia="黑体"/>
          <w:sz w:val="32"/>
          <w:szCs w:val="32"/>
        </w:rPr>
      </w:pPr>
    </w:p>
    <w:p>
      <w:pPr>
        <w:widowControl/>
        <w:spacing w:after="160" w:line="580" w:lineRule="exact"/>
        <w:ind w:firstLine="640" w:firstLineChars="200"/>
        <w:rPr>
          <w:rFonts w:ascii="Times New Roman" w:hAnsi="Times New Roman" w:eastAsia="黑体"/>
          <w:sz w:val="32"/>
          <w:szCs w:val="32"/>
        </w:rPr>
        <w:sectPr>
          <w:headerReference r:id="rId8" w:type="first"/>
          <w:footerReference r:id="rId10" w:type="first"/>
          <w:headerReference r:id="rId7" w:type="default"/>
          <w:footerReference r:id="rId9" w:type="default"/>
          <w:type w:val="continuous"/>
          <w:pgSz w:w="11906" w:h="16838"/>
          <w:pgMar w:top="2041" w:right="1531" w:bottom="2041" w:left="1531" w:header="851" w:footer="992" w:gutter="0"/>
          <w:cols w:space="0" w:num="1"/>
          <w:titlePg/>
          <w:docGrid w:type="lines" w:linePitch="312" w:charSpace="0"/>
        </w:sect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r>
        <mc:AlternateContent>
          <mc:Choice Requires="wps">
            <w:drawing>
              <wp:anchor distT="0" distB="0" distL="114300" distR="114300" simplePos="0" relativeHeight="251663360" behindDoc="0" locked="0" layoutInCell="1" allowOverlap="1">
                <wp:simplePos x="0" y="0"/>
                <wp:positionH relativeFrom="column">
                  <wp:posOffset>-1088390</wp:posOffset>
                </wp:positionH>
                <wp:positionV relativeFrom="paragraph">
                  <wp:posOffset>1024890</wp:posOffset>
                </wp:positionV>
                <wp:extent cx="7793355" cy="3341370"/>
                <wp:effectExtent l="6985" t="15240" r="10160" b="15240"/>
                <wp:wrapNone/>
                <wp:docPr id="15" name="Text Box 29" descr="ooxWord://word/media/image1.bmp"/>
                <wp:cNvGraphicFramePr/>
                <a:graphic xmlns:a="http://schemas.openxmlformats.org/drawingml/2006/main">
                  <a:graphicData uri="http://schemas.microsoft.com/office/word/2010/wordprocessingShape">
                    <wps:wsp>
                      <wps:cNvSpPr txBox="1">
                        <a:spLocks noChangeArrowheads="1"/>
                      </wps:cNvSpPr>
                      <wps:spPr bwMode="auto">
                        <a:xfrm>
                          <a:off x="0" y="0"/>
                          <a:ext cx="7793355" cy="3341370"/>
                        </a:xfrm>
                        <a:prstGeom prst="rect">
                          <a:avLst/>
                        </a:prstGeom>
                        <a:solidFill>
                          <a:srgbClr val="FFD966"/>
                        </a:solidFill>
                        <a:ln w="12700">
                          <a:solidFill>
                            <a:srgbClr val="FFD966"/>
                          </a:solidFill>
                          <a:round/>
                        </a:ln>
                      </wps:spPr>
                      <wps:txbx>
                        <w:txbxContent>
                          <w:p>
                            <w:pPr>
                              <w:widowControl/>
                              <w:jc w:val="center"/>
                              <w:rPr>
                                <w:rFonts w:ascii="黑体" w:hAnsi="黑体" w:eastAsia="黑体" w:cs="黑体"/>
                                <w:color w:val="000000"/>
                                <w:sz w:val="96"/>
                                <w:szCs w:val="96"/>
                              </w:rPr>
                            </w:pPr>
                            <w:r>
                              <w:rPr>
                                <w:rFonts w:hint="eastAsia" w:ascii="黑体" w:hAnsi="黑体" w:eastAsia="黑体" w:cs="黑体"/>
                                <w:color w:val="000000"/>
                                <w:sz w:val="96"/>
                                <w:szCs w:val="96"/>
                              </w:rPr>
                              <w:t>第一部分</w:t>
                            </w:r>
                            <w:r>
                              <w:rPr>
                                <w:rFonts w:ascii="黑体" w:hAnsi="黑体" w:eastAsia="黑体" w:cs="黑体"/>
                                <w:color w:val="000000"/>
                                <w:sz w:val="96"/>
                                <w:szCs w:val="96"/>
                              </w:rPr>
                              <w:t xml:space="preserve">  </w:t>
                            </w:r>
                            <w:r>
                              <w:rPr>
                                <w:rFonts w:hint="eastAsia" w:ascii="黑体" w:hAnsi="黑体" w:eastAsia="黑体" w:cs="黑体"/>
                                <w:color w:val="000000"/>
                                <w:sz w:val="96"/>
                                <w:szCs w:val="96"/>
                              </w:rPr>
                              <w:t>部门概况</w:t>
                            </w:r>
                          </w:p>
                        </w:txbxContent>
                      </wps:txbx>
                      <wps:bodyPr rot="0" vert="horz" wrap="square" lIns="91440" tIns="45720" rIns="91440" bIns="45720" anchor="ctr" anchorCtr="0" upright="1">
                        <a:noAutofit/>
                      </wps:bodyPr>
                    </wps:wsp>
                  </a:graphicData>
                </a:graphic>
              </wp:anchor>
            </w:drawing>
          </mc:Choice>
          <mc:Fallback>
            <w:pict>
              <v:shape id="Text Box 29" o:spid="_x0000_s1026" o:spt="202" alt="ooxWord://word/media/image1.bmp" type="#_x0000_t202" style="position:absolute;left:0pt;margin-left:-85.7pt;margin-top:80.7pt;height:263.1pt;width:613.65pt;z-index:251663360;v-text-anchor:middle;mso-width-relative:page;mso-height-relative:page;" fillcolor="#FFD966" filled="t" stroked="t" coordsize="21600,21600" o:gfxdata="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y/Q0q3AAAAA0BAAAPAAAAAAAA&#10;AAEAIAAAACIAAABkcnMvZG93bnJldi54bWxQSwECFAAUAAAACACHTuJAOzTpGEcCAACnBAAADgAA&#10;AAAAAAABACAAAAArAQAAZHJzL2Uyb0RvYy54bWxQSwUGAAAAAAYABgBZAQAA5AUAAAAA&#10;">
                <v:fill on="t" focussize="0,0"/>
                <v:stroke weight="1pt" color="#FFD966" joinstyle="round"/>
                <v:imagedata o:title=""/>
                <o:lock v:ext="edit" aspectratio="f"/>
                <v:textbox>
                  <w:txbxContent>
                    <w:p>
                      <w:pPr>
                        <w:widowControl/>
                        <w:jc w:val="center"/>
                        <w:rPr>
                          <w:rFonts w:ascii="黑体" w:hAnsi="黑体" w:eastAsia="黑体" w:cs="黑体"/>
                          <w:color w:val="000000"/>
                          <w:sz w:val="96"/>
                          <w:szCs w:val="96"/>
                        </w:rPr>
                      </w:pPr>
                      <w:r>
                        <w:rPr>
                          <w:rFonts w:hint="eastAsia" w:ascii="黑体" w:hAnsi="黑体" w:eastAsia="黑体" w:cs="黑体"/>
                          <w:color w:val="000000"/>
                          <w:sz w:val="96"/>
                          <w:szCs w:val="96"/>
                        </w:rPr>
                        <w:t>第一部分</w:t>
                      </w:r>
                      <w:r>
                        <w:rPr>
                          <w:rFonts w:ascii="黑体" w:hAnsi="黑体" w:eastAsia="黑体" w:cs="黑体"/>
                          <w:color w:val="000000"/>
                          <w:sz w:val="96"/>
                          <w:szCs w:val="96"/>
                        </w:rPr>
                        <w:t xml:space="preserve">  </w:t>
                      </w:r>
                      <w:r>
                        <w:rPr>
                          <w:rFonts w:hint="eastAsia" w:ascii="黑体" w:hAnsi="黑体" w:eastAsia="黑体" w:cs="黑体"/>
                          <w:color w:val="000000"/>
                          <w:sz w:val="96"/>
                          <w:szCs w:val="96"/>
                        </w:rPr>
                        <w:t>部门概况</w:t>
                      </w:r>
                    </w:p>
                  </w:txbxContent>
                </v:textbox>
              </v:shape>
            </w:pict>
          </mc:Fallback>
        </mc:AlternateContent>
      </w:r>
      <w:r>
        <w:br w:type="page"/>
      </w:r>
    </w:p>
    <w:p>
      <w:pPr>
        <w:pStyle w:val="2"/>
        <w:spacing w:before="0" w:after="0" w:line="580" w:lineRule="exact"/>
        <w:ind w:firstLine="640" w:firstLineChars="200"/>
        <w:jc w:val="left"/>
        <w:rPr>
          <w:rFonts w:ascii="黑体" w:eastAsia="黑体" w:cs="黑体"/>
          <w:b w:val="0"/>
          <w:bCs w:val="0"/>
          <w:kern w:val="0"/>
          <w:sz w:val="32"/>
          <w:szCs w:val="32"/>
        </w:rPr>
      </w:pPr>
      <w:r>
        <w:rPr>
          <w:rFonts w:hint="eastAsia" w:ascii="黑体" w:eastAsia="黑体" w:cs="黑体"/>
          <w:b w:val="0"/>
          <w:bCs w:val="0"/>
          <w:kern w:val="0"/>
          <w:sz w:val="32"/>
          <w:szCs w:val="32"/>
        </w:rPr>
        <w:t>一、部门职责</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根据顺平县人民政府办公室《关于印发顺平县财政局主要职责内设机构和人员编制规定》（顺政办</w:t>
      </w:r>
      <w:r>
        <w:rPr>
          <w:rFonts w:ascii="仿宋_GB2312" w:eastAsia="仿宋_GB2312" w:cs="ArialUnicodeMS"/>
          <w:kern w:val="0"/>
          <w:sz w:val="32"/>
          <w:szCs w:val="32"/>
        </w:rPr>
        <w:t>[2011]25号），现将我局部门概况说明如下：</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一）拟订财税发展战略、规划、政策和改革方案并组织实施；分析预测宏观经济形势，参与制定各项宏观经济政策，提出运用财税政策实施宏观调控和综合平衡社会财力的建议；实施省与市县、国家与地方企业的分配政策，完善鼓励公益事业发展的财税政策。</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（二）贯彻落实国家、省有关财政、预算、财务、会计管理工作的方针、政策、法律、法规；制定有关规章制度并监督实施。</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三）承担财政预算管理的责任。负责编制年度县级预决算草案并组织执行，汇编全县年度预决算草案；受县政府委托，向县人民代表大会报告全县预算及其执行情况，向县人大常委会报告决算；组织制定经费开支标准、定额，负责审核批复部门（单位）的年度预决算。</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（四）承担财政体制管理的责任。负责落实上级财政管理体制，提出乡级财政管理体制指导性意见，实施省直接管理县财政体制改革。</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五）承担财政国库管理的责任。组织实施国库管理制度、国库集中收付制度，指导和监督县级国库业务，按规定开展国库现金管理；负责落实政府采购制度并监督管理；承担县直机关、事业单位公务车辆编制管理。</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（六）负责政府非税收入和政府性基金管理，按规定管理行政事业性收费；管理财政票据；制定彩票管理政策和有关办法，管理彩票市场，按规定管理彩票资金。</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七）负责落实行政事业单位国有资产管理规章制度，以及县委、县政府直属事业单位和县直部门所属事业单位的国有资产监督管理。组织实施国有企业清产核资、资本金权属界定和登记；受理国有资产流失案件的举报和查处，组织实施国有股权管理；负责国有资本金统计分析，指导财产评估业务。</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八）负责审核和汇总编制全县国有资本经营预决算草案，制定国有资本经营预算的制度和办法，收取县级企业国有资本收益；组织实施企业财务制度；管理地方金融类企业国有资产，参与拟订企业国有资产管理相关制度，管理资产评估。</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（九）负责办理和监督县级财政的经济社会发展支出、县投资项目的财政拨款，参与拟订县建设投资的有关政策，拟订基本建设财务制度；负责有关政策性补贴和专项储备资金财政管理。</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（十）会同有关部门管理县级财政社会保障和就业及医疗卫生支出，组织有关部门落实社会保障资金（基金）的财务管理制度，编制县级社会保障预决算草案。</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十一）负责管理县政府的国内外债权、债务。执行国家外债管理的政策，拟订具体实施办法，承担外国政府贷款、国际金融组织贷款的对外谈判与磋商；负责财政预算内行政机构、事业单位和社会团体的非贸易外汇管理；受县政府委托会同有关部门处理涉及财政、债务等方面的涉外事务。</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（十二）负责管理全县会计工作，监督和规范会计行为，组织实施国家统一的会计制度，指导和监督注册会计师和会计师事务所的业务，指导和管理社会审计。</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（十三）监督检查财税法规、政策的执行情况，反映财政收支管理中的重大问题。</w:t>
      </w:r>
    </w:p>
    <w:p>
      <w:pPr>
        <w:keepNext/>
        <w:keepLines/>
        <w:spacing w:line="580" w:lineRule="exact"/>
        <w:ind w:firstLine="640" w:firstLineChars="200"/>
        <w:jc w:val="left"/>
        <w:outlineLvl w:val="0"/>
        <w:rPr>
          <w:rFonts w:ascii="仿宋_GB2312" w:eastAsia="仿宋_GB2312" w:cs="ArialUnicodeMS"/>
          <w:kern w:val="0"/>
          <w:sz w:val="32"/>
          <w:szCs w:val="32"/>
        </w:rPr>
      </w:pPr>
      <w:r>
        <w:rPr>
          <w:rFonts w:hint="eastAsia" w:ascii="仿宋_GB2312" w:eastAsia="仿宋_GB2312" w:cs="ArialUnicodeMS"/>
          <w:kern w:val="0"/>
          <w:sz w:val="32"/>
          <w:szCs w:val="32"/>
        </w:rPr>
        <w:t>（十四）承办县政府交办的其他事项。</w:t>
      </w:r>
    </w:p>
    <w:p>
      <w:pPr>
        <w:keepNext/>
        <w:keepLines/>
        <w:spacing w:line="580" w:lineRule="exact"/>
        <w:ind w:firstLine="640" w:firstLineChars="200"/>
        <w:jc w:val="left"/>
        <w:outlineLvl w:val="0"/>
        <w:rPr>
          <w:rFonts w:ascii="黑体" w:hAnsi="Calibri" w:eastAsia="黑体" w:cs="黑体"/>
          <w:kern w:val="0"/>
          <w:sz w:val="32"/>
          <w:szCs w:val="32"/>
        </w:rPr>
      </w:pPr>
      <w:r>
        <w:rPr>
          <w:rFonts w:hint="eastAsia" w:ascii="黑体" w:hAnsi="Calibri" w:eastAsia="黑体" w:cs="黑体"/>
          <w:kern w:val="0"/>
          <w:sz w:val="32"/>
          <w:szCs w:val="32"/>
        </w:rPr>
        <w:t>二、机构设置</w:t>
      </w:r>
    </w:p>
    <w:p>
      <w:pPr>
        <w:ind w:firstLine="640" w:firstLineChars="200"/>
        <w:jc w:val="left"/>
        <w:rPr>
          <w:rFonts w:ascii="仿宋" w:hAnsi="仿宋" w:eastAsia="仿宋"/>
          <w:sz w:val="32"/>
          <w:szCs w:val="32"/>
        </w:rPr>
      </w:pPr>
      <w:r>
        <w:rPr>
          <w:rFonts w:hint="eastAsia" w:ascii="仿宋_GB2312" w:hAnsi="Calibri" w:eastAsia="仿宋_GB2312" w:cs="ArialUnicodeMS"/>
          <w:kern w:val="0"/>
          <w:sz w:val="32"/>
          <w:szCs w:val="32"/>
        </w:rPr>
        <w:t>从决算编报单位构成看，纳入</w:t>
      </w:r>
      <w:r>
        <w:rPr>
          <w:rFonts w:ascii="仿宋_GB2312" w:hAnsi="Calibri" w:eastAsia="仿宋_GB2312" w:cs="ArialUnicodeMS"/>
          <w:kern w:val="0"/>
          <w:sz w:val="32"/>
          <w:szCs w:val="32"/>
        </w:rPr>
        <w:t xml:space="preserve">2019 </w:t>
      </w:r>
      <w:r>
        <w:rPr>
          <w:rFonts w:hint="eastAsia" w:ascii="仿宋_GB2312" w:hAnsi="Calibri" w:eastAsia="仿宋_GB2312" w:cs="ArialUnicodeMS"/>
          <w:kern w:val="0"/>
          <w:sz w:val="32"/>
          <w:szCs w:val="32"/>
        </w:rPr>
        <w:t>年度本部门决算汇编范围的独立核算单位（以下简称“单位”）共1</w:t>
      </w:r>
      <w:r>
        <w:rPr>
          <w:rFonts w:ascii="仿宋_GB2312" w:hAnsi="Calibri" w:eastAsia="仿宋_GB2312" w:cs="ArialUnicodeMS"/>
          <w:kern w:val="0"/>
          <w:sz w:val="32"/>
          <w:szCs w:val="32"/>
        </w:rPr>
        <w:t xml:space="preserve"> </w:t>
      </w:r>
      <w:r>
        <w:rPr>
          <w:rFonts w:hint="eastAsia" w:ascii="仿宋_GB2312" w:hAnsi="Calibri" w:eastAsia="仿宋_GB2312" w:cs="ArialUnicodeMS"/>
          <w:kern w:val="0"/>
          <w:sz w:val="32"/>
          <w:szCs w:val="32"/>
        </w:rPr>
        <w:t>个，具体情况如下</w:t>
      </w:r>
      <w:r>
        <w:rPr>
          <w:rFonts w:hint="eastAsia" w:ascii="仿宋_GB2312" w:hAnsi="Times New Roman" w:eastAsia="仿宋_GB2312" w:cs="DengXian-Regular"/>
          <w:sz w:val="32"/>
          <w:szCs w:val="32"/>
        </w:rPr>
        <w:t>：</w:t>
      </w:r>
    </w:p>
    <w:tbl>
      <w:tblPr>
        <w:tblStyle w:val="8"/>
        <w:tblpPr w:leftFromText="180" w:rightFromText="180" w:vertAnchor="text" w:horzAnchor="page" w:tblpXSpec="center" w:tblpY="10"/>
        <w:tblOverlap w:val="never"/>
        <w:tblW w:w="913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5"/>
        <w:gridCol w:w="4035"/>
        <w:gridCol w:w="2115"/>
        <w:gridCol w:w="22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1" w:hRule="atLeast"/>
          <w:jc w:val="center"/>
        </w:trPr>
        <w:tc>
          <w:tcPr>
            <w:tcW w:w="705" w:type="dxa"/>
            <w:vAlign w:val="center"/>
          </w:tcPr>
          <w:p>
            <w:pPr>
              <w:jc w:val="center"/>
              <w:rPr>
                <w:b/>
                <w:bCs/>
                <w:kern w:val="0"/>
                <w:sz w:val="22"/>
                <w:szCs w:val="20"/>
              </w:rPr>
            </w:pPr>
            <w:r>
              <w:rPr>
                <w:rFonts w:hint="eastAsia"/>
                <w:b/>
                <w:bCs/>
                <w:kern w:val="0"/>
                <w:sz w:val="22"/>
                <w:szCs w:val="20"/>
              </w:rPr>
              <w:t>序号</w:t>
            </w:r>
          </w:p>
        </w:tc>
        <w:tc>
          <w:tcPr>
            <w:tcW w:w="4035" w:type="dxa"/>
            <w:vAlign w:val="center"/>
          </w:tcPr>
          <w:p>
            <w:pPr>
              <w:jc w:val="center"/>
              <w:rPr>
                <w:b/>
                <w:bCs/>
                <w:kern w:val="0"/>
                <w:sz w:val="22"/>
                <w:szCs w:val="20"/>
              </w:rPr>
            </w:pPr>
            <w:r>
              <w:rPr>
                <w:rFonts w:hint="eastAsia"/>
                <w:b/>
                <w:bCs/>
                <w:kern w:val="0"/>
                <w:sz w:val="22"/>
                <w:szCs w:val="20"/>
              </w:rPr>
              <w:t>单位名称</w:t>
            </w:r>
          </w:p>
        </w:tc>
        <w:tc>
          <w:tcPr>
            <w:tcW w:w="2115" w:type="dxa"/>
            <w:vAlign w:val="center"/>
          </w:tcPr>
          <w:p>
            <w:pPr>
              <w:jc w:val="center"/>
              <w:rPr>
                <w:b/>
                <w:bCs/>
                <w:kern w:val="0"/>
                <w:sz w:val="22"/>
                <w:szCs w:val="20"/>
              </w:rPr>
            </w:pPr>
            <w:r>
              <w:rPr>
                <w:rFonts w:hint="eastAsia"/>
                <w:b/>
                <w:bCs/>
                <w:kern w:val="0"/>
                <w:sz w:val="22"/>
                <w:szCs w:val="20"/>
              </w:rPr>
              <w:t>单位基本性质</w:t>
            </w:r>
          </w:p>
        </w:tc>
        <w:tc>
          <w:tcPr>
            <w:tcW w:w="2280" w:type="dxa"/>
            <w:vAlign w:val="center"/>
          </w:tcPr>
          <w:p>
            <w:pPr>
              <w:jc w:val="center"/>
              <w:rPr>
                <w:b/>
                <w:bCs/>
                <w:kern w:val="0"/>
                <w:sz w:val="22"/>
                <w:szCs w:val="20"/>
              </w:rPr>
            </w:pPr>
            <w:r>
              <w:rPr>
                <w:rFonts w:hint="eastAsia"/>
                <w:b/>
                <w:bCs/>
                <w:kern w:val="0"/>
                <w:sz w:val="22"/>
                <w:szCs w:val="20"/>
              </w:rPr>
              <w:t>经费形式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6" w:hRule="atLeast"/>
          <w:jc w:val="center"/>
        </w:trPr>
        <w:tc>
          <w:tcPr>
            <w:tcW w:w="705" w:type="dxa"/>
            <w:vAlign w:val="center"/>
          </w:tcPr>
          <w:p>
            <w:pPr>
              <w:jc w:val="center"/>
              <w:rPr>
                <w:kern w:val="0"/>
                <w:sz w:val="22"/>
                <w:szCs w:val="20"/>
              </w:rPr>
            </w:pPr>
            <w:r>
              <w:rPr>
                <w:rFonts w:hint="eastAsia"/>
                <w:kern w:val="0"/>
                <w:sz w:val="22"/>
                <w:szCs w:val="20"/>
              </w:rPr>
              <w:t>1</w:t>
            </w:r>
          </w:p>
        </w:tc>
        <w:tc>
          <w:tcPr>
            <w:tcW w:w="4035" w:type="dxa"/>
            <w:vAlign w:val="center"/>
          </w:tcPr>
          <w:p>
            <w:pPr>
              <w:jc w:val="center"/>
              <w:rPr>
                <w:kern w:val="0"/>
                <w:sz w:val="22"/>
                <w:szCs w:val="20"/>
              </w:rPr>
            </w:pPr>
            <w:r>
              <w:rPr>
                <w:rFonts w:hint="eastAsia"/>
                <w:kern w:val="0"/>
                <w:sz w:val="22"/>
                <w:szCs w:val="20"/>
              </w:rPr>
              <w:t>顺平县财政局(本级)</w:t>
            </w:r>
          </w:p>
        </w:tc>
        <w:tc>
          <w:tcPr>
            <w:tcW w:w="2115" w:type="dxa"/>
            <w:vAlign w:val="center"/>
          </w:tcPr>
          <w:p>
            <w:pPr>
              <w:jc w:val="center"/>
              <w:rPr>
                <w:rFonts w:hint="eastAsia" w:eastAsia="等线"/>
                <w:kern w:val="0"/>
                <w:sz w:val="22"/>
                <w:szCs w:val="20"/>
                <w:lang w:eastAsia="zh-CN"/>
              </w:rPr>
            </w:pPr>
            <w:r>
              <w:rPr>
                <w:rFonts w:hint="eastAsia"/>
                <w:kern w:val="0"/>
                <w:sz w:val="22"/>
                <w:szCs w:val="20"/>
                <w:lang w:eastAsia="zh-CN"/>
              </w:rPr>
              <w:t>行政单位</w:t>
            </w:r>
          </w:p>
        </w:tc>
        <w:tc>
          <w:tcPr>
            <w:tcW w:w="2280" w:type="dxa"/>
            <w:vAlign w:val="center"/>
          </w:tcPr>
          <w:p>
            <w:pPr>
              <w:tabs>
                <w:tab w:val="left" w:pos="555"/>
              </w:tabs>
              <w:jc w:val="center"/>
              <w:rPr>
                <w:kern w:val="0"/>
                <w:sz w:val="22"/>
                <w:szCs w:val="20"/>
              </w:rPr>
            </w:pPr>
            <w:r>
              <w:rPr>
                <w:rFonts w:hint="eastAsia"/>
                <w:kern w:val="0"/>
                <w:sz w:val="22"/>
                <w:szCs w:val="20"/>
              </w:rPr>
              <w:t>财政拨款</w:t>
            </w:r>
          </w:p>
        </w:tc>
      </w:tr>
    </w:tbl>
    <w:p>
      <w:pPr>
        <w:keepNext/>
        <w:keepLines/>
        <w:spacing w:line="580" w:lineRule="exact"/>
        <w:ind w:firstLine="640" w:firstLineChars="200"/>
        <w:jc w:val="left"/>
        <w:outlineLvl w:val="0"/>
        <w:rPr>
          <w:rFonts w:ascii="黑体" w:hAnsi="Calibri" w:eastAsia="黑体" w:cs="黑体"/>
          <w:kern w:val="0"/>
          <w:sz w:val="32"/>
          <w:szCs w:val="32"/>
        </w:rPr>
      </w:pPr>
      <w:r>
        <w:rPr>
          <w:rFonts w:hint="eastAsia" w:ascii="黑体" w:hAnsi="Calibri" w:eastAsia="黑体" w:cs="黑体"/>
          <w:kern w:val="0"/>
          <w:sz w:val="32"/>
          <w:szCs w:val="32"/>
        </w:rPr>
        <w:t>三、人员情况：</w:t>
      </w:r>
    </w:p>
    <w:p>
      <w:pPr>
        <w:widowControl/>
        <w:spacing w:after="160" w:line="580" w:lineRule="exact"/>
        <w:ind w:firstLine="640" w:firstLineChars="200"/>
        <w:rPr>
          <w:rFonts w:ascii="仿宋_GB2312" w:eastAsia="仿宋_GB2312" w:cs="ArialUnicodeMS"/>
          <w:kern w:val="0"/>
          <w:sz w:val="32"/>
          <w:szCs w:val="32"/>
        </w:rPr>
      </w:pPr>
      <w:r>
        <w:rPr>
          <w:rFonts w:ascii="仿宋_GB2312" w:eastAsia="仿宋_GB2312" w:cs="ArialUnicodeMS"/>
          <w:kern w:val="0"/>
          <w:sz w:val="32"/>
          <w:szCs w:val="32"/>
        </w:rPr>
        <w:t>2019年我单位在职人员调出2人，退休4人，截止年底，全局在职干部职工95人，退休2</w:t>
      </w:r>
      <w:r>
        <w:rPr>
          <w:rFonts w:hint="eastAsia" w:ascii="仿宋_GB2312" w:eastAsia="仿宋_GB2312" w:cs="ArialUnicodeMS"/>
          <w:kern w:val="0"/>
          <w:sz w:val="32"/>
          <w:szCs w:val="32"/>
        </w:rPr>
        <w:t>2</w:t>
      </w:r>
      <w:r>
        <w:rPr>
          <w:rFonts w:ascii="仿宋_GB2312" w:eastAsia="仿宋_GB2312" w:cs="ArialUnicodeMS"/>
          <w:kern w:val="0"/>
          <w:sz w:val="32"/>
          <w:szCs w:val="32"/>
        </w:rPr>
        <w:t>人。</w:t>
      </w:r>
    </w:p>
    <w:p>
      <w:pPr>
        <w:widowControl/>
        <w:spacing w:after="160" w:line="580" w:lineRule="exact"/>
        <w:ind w:firstLine="640" w:firstLineChars="200"/>
        <w:rPr>
          <w:rFonts w:ascii="Times New Roman" w:hAnsi="Times New Roman" w:eastAsia="黑体"/>
          <w:sz w:val="32"/>
          <w:szCs w:val="32"/>
        </w:rPr>
      </w:pPr>
    </w:p>
    <w:p>
      <w:pPr>
        <w:widowControl/>
        <w:spacing w:after="160" w:line="580" w:lineRule="exact"/>
        <w:ind w:firstLine="640" w:firstLineChars="200"/>
        <w:rPr>
          <w:rFonts w:ascii="Times New Roman" w:hAnsi="Times New Roman" w:eastAsia="黑体"/>
          <w:sz w:val="32"/>
          <w:szCs w:val="32"/>
        </w:rPr>
        <w:sectPr>
          <w:pgSz w:w="11906" w:h="16838"/>
          <w:pgMar w:top="2041" w:right="1531" w:bottom="2041" w:left="1531" w:header="851" w:footer="992" w:gutter="0"/>
          <w:pgNumType w:fmt="numberInDash" w:start="1"/>
          <w:cols w:space="0" w:num="1"/>
          <w:titlePg/>
          <w:docGrid w:type="lines" w:linePitch="312" w:charSpace="0"/>
        </w:sectPr>
      </w:pPr>
    </w:p>
    <w:p>
      <w:pPr>
        <w:widowControl/>
        <w:spacing w:after="160" w:line="580" w:lineRule="exact"/>
        <w:ind w:firstLine="640" w:firstLineChars="200"/>
        <w:rPr>
          <w:rFonts w:ascii="Times New Roman" w:hAnsi="Times New Roman" w:eastAsia="黑体"/>
          <w:sz w:val="32"/>
          <w:szCs w:val="32"/>
        </w:rPr>
        <w:sectPr>
          <w:type w:val="continuous"/>
          <w:pgSz w:w="11906" w:h="16838"/>
          <w:pgMar w:top="2041" w:right="1531" w:bottom="2041" w:left="1531" w:header="851" w:footer="992" w:gutter="0"/>
          <w:pgNumType w:fmt="numberInDash"/>
          <w:cols w:space="0" w:num="1"/>
          <w:titlePg/>
          <w:docGrid w:type="lines" w:linePitch="312" w:charSpace="0"/>
        </w:sectPr>
      </w:pPr>
    </w:p>
    <w:p>
      <w:pPr>
        <w:widowControl/>
        <w:spacing w:after="160" w:line="580" w:lineRule="exact"/>
        <w:ind w:firstLine="420" w:firstLineChars="200"/>
        <w:rPr>
          <w:rFonts w:ascii="Times New Roman" w:hAnsi="Times New Roman" w:eastAsia="黑体"/>
          <w:sz w:val="32"/>
          <w:szCs w:val="32"/>
        </w:rPr>
        <w:sectPr>
          <w:pgSz w:w="11906" w:h="16838"/>
          <w:pgMar w:top="2041" w:right="1531" w:bottom="2041" w:left="1531" w:header="851" w:footer="992" w:gutter="0"/>
          <w:pgNumType w:fmt="numberInDash"/>
          <w:cols w:space="0" w:num="1"/>
          <w:titlePg/>
          <w:docGrid w:type="lines" w:linePitch="312" w:charSpace="0"/>
        </w:sectPr>
      </w:pPr>
      <w:r>
        <mc:AlternateContent>
          <mc:Choice Requires="wps">
            <w:drawing>
              <wp:anchor distT="0" distB="0" distL="114300" distR="114300" simplePos="0" relativeHeight="251664384" behindDoc="0" locked="0" layoutInCell="1" allowOverlap="1">
                <wp:simplePos x="0" y="0"/>
                <wp:positionH relativeFrom="column">
                  <wp:posOffset>-1088390</wp:posOffset>
                </wp:positionH>
                <wp:positionV relativeFrom="paragraph">
                  <wp:posOffset>3024505</wp:posOffset>
                </wp:positionV>
                <wp:extent cx="7793355" cy="2200275"/>
                <wp:effectExtent l="0" t="0" r="635" b="4445"/>
                <wp:wrapNone/>
                <wp:docPr id="14" name="Text Box 37"/>
                <wp:cNvGraphicFramePr/>
                <a:graphic xmlns:a="http://schemas.openxmlformats.org/drawingml/2006/main">
                  <a:graphicData uri="http://schemas.microsoft.com/office/word/2010/wordprocessingShape">
                    <wps:wsp>
                      <wps:cNvSpPr txBox="1">
                        <a:spLocks noChangeArrowheads="1"/>
                      </wps:cNvSpPr>
                      <wps:spPr bwMode="auto">
                        <a:xfrm>
                          <a:off x="0" y="0"/>
                          <a:ext cx="7793355" cy="2200275"/>
                        </a:xfrm>
                        <a:prstGeom prst="rect">
                          <a:avLst/>
                        </a:prstGeom>
                        <a:noFill/>
                        <a:ln>
                          <a:noFill/>
                        </a:ln>
                      </wps:spPr>
                      <wps:txbx>
                        <w:txbxContent>
                          <w:p>
                            <w:pPr>
                              <w:widowControl/>
                              <w:jc w:val="center"/>
                              <w:rPr>
                                <w:rFonts w:ascii="黑体" w:hAnsi="黑体" w:eastAsia="黑体" w:cs="黑体"/>
                                <w:color w:val="000000"/>
                                <w:sz w:val="96"/>
                                <w:szCs w:val="96"/>
                              </w:rPr>
                            </w:pPr>
                            <w:r>
                              <w:rPr>
                                <w:rFonts w:ascii="黑体" w:hAnsi="黑体" w:eastAsia="黑体" w:cs="黑体"/>
                                <w:color w:val="000000"/>
                                <w:sz w:val="96"/>
                                <w:szCs w:val="96"/>
                              </w:rPr>
                              <w:t xml:space="preserve"> </w:t>
                            </w:r>
                          </w:p>
                          <w:p>
                            <w:pPr>
                              <w:widowControl/>
                              <w:jc w:val="center"/>
                              <w:rPr>
                                <w:rFonts w:ascii="黑体" w:hAnsi="黑体" w:eastAsia="黑体" w:cs="黑体"/>
                                <w:color w:val="000000"/>
                                <w:sz w:val="96"/>
                                <w:szCs w:val="96"/>
                              </w:rPr>
                            </w:pPr>
                          </w:p>
                        </w:txbxContent>
                      </wps:txbx>
                      <wps:bodyPr rot="0" vert="horz" wrap="square" lIns="91440" tIns="45720" rIns="91440" bIns="45720" anchor="t" anchorCtr="0" upright="1">
                        <a:noAutofit/>
                      </wps:bodyPr>
                    </wps:wsp>
                  </a:graphicData>
                </a:graphic>
              </wp:anchor>
            </w:drawing>
          </mc:Choice>
          <mc:Fallback>
            <w:pict>
              <v:shape id="Text Box 37" o:spid="_x0000_s1026" o:spt="202" type="#_x0000_t202" style="position:absolute;left:0pt;margin-left:-85.7pt;margin-top:238.15pt;height:173.25pt;width:613.65pt;z-index:251664384;mso-width-relative:page;mso-height-relative:page;" filled="f" stroked="f" coordsize="21600,21600" o:gfxdata="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ison2wAAAA0BAAAPAAAAAAAAAAEAIAAA&#10;ACIAAABkcnMvZG93bnJldi54bWxQSwECFAAUAAAACACHTuJAlQYYkAkCAAAXBAAADgAAAAAAAAAB&#10;ACAAAAAqAQAAZHJzL2Uyb0RvYy54bWxQSwUGAAAAAAYABgBZAQAApQUAAAAA&#10;">
                <v:fill on="f" focussize="0,0"/>
                <v:stroke on="f"/>
                <v:imagedata o:title=""/>
                <o:lock v:ext="edit" aspectratio="f"/>
                <v:textbox>
                  <w:txbxContent>
                    <w:p>
                      <w:pPr>
                        <w:widowControl/>
                        <w:jc w:val="center"/>
                        <w:rPr>
                          <w:rFonts w:ascii="黑体" w:hAnsi="黑体" w:eastAsia="黑体" w:cs="黑体"/>
                          <w:color w:val="000000"/>
                          <w:sz w:val="96"/>
                          <w:szCs w:val="96"/>
                        </w:rPr>
                      </w:pPr>
                      <w:r>
                        <w:rPr>
                          <w:rFonts w:ascii="黑体" w:hAnsi="黑体" w:eastAsia="黑体" w:cs="黑体"/>
                          <w:color w:val="000000"/>
                          <w:sz w:val="96"/>
                          <w:szCs w:val="96"/>
                        </w:rPr>
                        <w:t xml:space="preserve"> </w:t>
                      </w:r>
                    </w:p>
                    <w:p>
                      <w:pPr>
                        <w:widowControl/>
                        <w:jc w:val="center"/>
                        <w:rPr>
                          <w:rFonts w:ascii="黑体" w:hAnsi="黑体" w:eastAsia="黑体" w:cs="黑体"/>
                          <w:color w:val="000000"/>
                          <w:sz w:val="96"/>
                          <w:szCs w:val="96"/>
                        </w:rPr>
                      </w:pPr>
                    </w:p>
                  </w:txbxContent>
                </v:textbox>
              </v:shape>
            </w:pict>
          </mc:Fallback>
        </mc:AlternateContent>
      </w:r>
    </w:p>
    <w:p>
      <w:pPr>
        <w:widowControl/>
        <w:spacing w:line="580" w:lineRule="exact"/>
        <w:ind w:firstLine="640" w:firstLineChars="200"/>
        <w:rPr>
          <w:rFonts w:eastAsia="黑体"/>
          <w:sz w:val="32"/>
          <w:szCs w:val="3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r>
        <mc:AlternateContent>
          <mc:Choice Requires="wps">
            <w:drawing>
              <wp:anchor distT="0" distB="0" distL="114300" distR="114300" simplePos="0" relativeHeight="251666432" behindDoc="0" locked="0" layoutInCell="1" allowOverlap="1">
                <wp:simplePos x="0" y="0"/>
                <wp:positionH relativeFrom="column">
                  <wp:posOffset>-1153160</wp:posOffset>
                </wp:positionH>
                <wp:positionV relativeFrom="paragraph">
                  <wp:posOffset>55245</wp:posOffset>
                </wp:positionV>
                <wp:extent cx="7793355" cy="3341370"/>
                <wp:effectExtent l="8890" t="7620" r="8255" b="13335"/>
                <wp:wrapNone/>
                <wp:docPr id="13" name="Text Box 38" descr="ooxWord://word/media/image1.bmp"/>
                <wp:cNvGraphicFramePr/>
                <a:graphic xmlns:a="http://schemas.openxmlformats.org/drawingml/2006/main">
                  <a:graphicData uri="http://schemas.microsoft.com/office/word/2010/wordprocessingShape">
                    <wps:wsp>
                      <wps:cNvSpPr txBox="1">
                        <a:spLocks noChangeArrowheads="1"/>
                      </wps:cNvSpPr>
                      <wps:spPr bwMode="auto">
                        <a:xfrm>
                          <a:off x="0" y="0"/>
                          <a:ext cx="7793355" cy="3341370"/>
                        </a:xfrm>
                        <a:prstGeom prst="rect">
                          <a:avLst/>
                        </a:prstGeom>
                        <a:solidFill>
                          <a:srgbClr val="FFD966"/>
                        </a:solidFill>
                        <a:ln w="6350">
                          <a:solidFill>
                            <a:srgbClr val="FFD966"/>
                          </a:solidFill>
                          <a:round/>
                        </a:ln>
                      </wps:spPr>
                      <wps:txbx>
                        <w:txbxContent>
                          <w:p>
                            <w:pPr>
                              <w:widowControl/>
                              <w:jc w:val="center"/>
                              <w:rPr>
                                <w:rFonts w:ascii="黑体" w:hAnsi="黑体" w:eastAsia="黑体" w:cs="黑体"/>
                                <w:color w:val="000000"/>
                                <w:sz w:val="90"/>
                                <w:szCs w:val="90"/>
                              </w:rPr>
                            </w:pPr>
                            <w:r>
                              <w:rPr>
                                <w:rFonts w:hint="eastAsia" w:ascii="黑体" w:hAnsi="黑体" w:eastAsia="黑体" w:cs="黑体"/>
                                <w:color w:val="000000"/>
                                <w:sz w:val="90"/>
                                <w:szCs w:val="90"/>
                              </w:rPr>
                              <w:t>第二部分</w:t>
                            </w:r>
                            <w:r>
                              <w:rPr>
                                <w:rFonts w:ascii="黑体" w:hAnsi="黑体" w:eastAsia="黑体" w:cs="黑体"/>
                                <w:color w:val="000000"/>
                                <w:sz w:val="90"/>
                                <w:szCs w:val="90"/>
                              </w:rPr>
                              <w:t xml:space="preserve"> </w:t>
                            </w:r>
                          </w:p>
                          <w:p>
                            <w:pPr>
                              <w:widowControl/>
                              <w:jc w:val="center"/>
                              <w:rPr>
                                <w:rFonts w:ascii="黑体" w:hAnsi="黑体" w:eastAsia="黑体" w:cs="黑体"/>
                                <w:color w:val="000000"/>
                                <w:sz w:val="90"/>
                                <w:szCs w:val="90"/>
                              </w:rPr>
                            </w:pPr>
                            <w:r>
                              <w:rPr>
                                <w:rFonts w:ascii="黑体" w:hAnsi="黑体" w:eastAsia="黑体" w:cs="黑体"/>
                                <w:color w:val="000000"/>
                                <w:sz w:val="90"/>
                                <w:szCs w:val="90"/>
                              </w:rPr>
                              <w:t>2019</w:t>
                            </w:r>
                            <w:r>
                              <w:rPr>
                                <w:rFonts w:hint="eastAsia" w:ascii="黑体" w:hAnsi="黑体" w:eastAsia="黑体" w:cs="黑体"/>
                                <w:color w:val="000000"/>
                                <w:sz w:val="90"/>
                                <w:szCs w:val="90"/>
                              </w:rPr>
                              <w:t>年部门决算情况说明</w:t>
                            </w:r>
                          </w:p>
                          <w:p/>
                        </w:txbxContent>
                      </wps:txbx>
                      <wps:bodyPr rot="0" vert="horz" wrap="square" lIns="91440" tIns="45720" rIns="91440" bIns="45720" anchor="ctr" anchorCtr="0" upright="1">
                        <a:noAutofit/>
                      </wps:bodyPr>
                    </wps:wsp>
                  </a:graphicData>
                </a:graphic>
              </wp:anchor>
            </w:drawing>
          </mc:Choice>
          <mc:Fallback>
            <w:pict>
              <v:shape id="Text Box 38" o:spid="_x0000_s1026" o:spt="202" alt="ooxWord://word/media/image1.bmp" type="#_x0000_t202" style="position:absolute;left:0pt;margin-left:-90.8pt;margin-top:4.35pt;height:263.1pt;width:613.65pt;z-index:251666432;v-text-anchor:middle;mso-width-relative:page;mso-height-relative:page;" fillcolor="#FFD966" filled="t" stroked="t" coordsize="21600,21600" o:gfxdata="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IMriIHYAAAACwEAAA8AAAAAAAAAAQAg&#10;AAAAIgAAAGRycy9kb3ducmV2LnhtbFBLAQIUABQAAAAIAIdO4kAxHUyfRwIAAKYEAAAOAAAAAAAA&#10;AAEAIAAAACcBAABkcnMvZTJvRG9jLnhtbFBLBQYAAAAABgAGAFkBAADgBQAAAAA=&#10;">
                <v:fill on="t" focussize="0,0"/>
                <v:stroke weight="0.5pt" color="#FFD966" joinstyle="round"/>
                <v:imagedata o:title=""/>
                <o:lock v:ext="edit" aspectratio="f"/>
                <v:textbox>
                  <w:txbxContent>
                    <w:p>
                      <w:pPr>
                        <w:widowControl/>
                        <w:jc w:val="center"/>
                        <w:rPr>
                          <w:rFonts w:ascii="黑体" w:hAnsi="黑体" w:eastAsia="黑体" w:cs="黑体"/>
                          <w:color w:val="000000"/>
                          <w:sz w:val="90"/>
                          <w:szCs w:val="90"/>
                        </w:rPr>
                      </w:pPr>
                      <w:r>
                        <w:rPr>
                          <w:rFonts w:hint="eastAsia" w:ascii="黑体" w:hAnsi="黑体" w:eastAsia="黑体" w:cs="黑体"/>
                          <w:color w:val="000000"/>
                          <w:sz w:val="90"/>
                          <w:szCs w:val="90"/>
                        </w:rPr>
                        <w:t>第二部分</w:t>
                      </w:r>
                      <w:r>
                        <w:rPr>
                          <w:rFonts w:ascii="黑体" w:hAnsi="黑体" w:eastAsia="黑体" w:cs="黑体"/>
                          <w:color w:val="000000"/>
                          <w:sz w:val="90"/>
                          <w:szCs w:val="90"/>
                        </w:rPr>
                        <w:t xml:space="preserve"> </w:t>
                      </w:r>
                    </w:p>
                    <w:p>
                      <w:pPr>
                        <w:widowControl/>
                        <w:jc w:val="center"/>
                        <w:rPr>
                          <w:rFonts w:ascii="黑体" w:hAnsi="黑体" w:eastAsia="黑体" w:cs="黑体"/>
                          <w:color w:val="000000"/>
                          <w:sz w:val="90"/>
                          <w:szCs w:val="90"/>
                        </w:rPr>
                      </w:pPr>
                      <w:r>
                        <w:rPr>
                          <w:rFonts w:ascii="黑体" w:hAnsi="黑体" w:eastAsia="黑体" w:cs="黑体"/>
                          <w:color w:val="000000"/>
                          <w:sz w:val="90"/>
                          <w:szCs w:val="90"/>
                        </w:rPr>
                        <w:t>2019</w:t>
                      </w:r>
                      <w:r>
                        <w:rPr>
                          <w:rFonts w:hint="eastAsia" w:ascii="黑体" w:hAnsi="黑体" w:eastAsia="黑体" w:cs="黑体"/>
                          <w:color w:val="000000"/>
                          <w:sz w:val="90"/>
                          <w:szCs w:val="90"/>
                        </w:rPr>
                        <w:t>年部门决算情况说明</w:t>
                      </w:r>
                    </w:p>
                    <w:p/>
                  </w:txbxContent>
                </v:textbox>
              </v:shape>
            </w:pict>
          </mc:Fallback>
        </mc:AlternateContent>
      </w: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keepNext/>
        <w:keepLines/>
        <w:snapToGrid w:val="0"/>
        <w:spacing w:line="580" w:lineRule="exact"/>
        <w:ind w:firstLine="640" w:firstLineChars="200"/>
        <w:outlineLvl w:val="1"/>
        <w:rPr>
          <w:rFonts w:ascii="黑体" w:hAnsi="Calibri" w:eastAsia="黑体"/>
          <w:sz w:val="32"/>
          <w:szCs w:val="32"/>
        </w:rPr>
      </w:pPr>
      <w:r>
        <w:rPr>
          <w:rFonts w:hint="eastAsia" w:ascii="黑体" w:hAnsi="Calibri" w:eastAsia="黑体"/>
          <w:sz w:val="32"/>
          <w:szCs w:val="32"/>
        </w:rPr>
        <w:t>一、收入</w:t>
      </w:r>
      <w:r>
        <w:rPr>
          <w:rFonts w:hint="eastAsia" w:ascii="黑体" w:hAnsi="Cambria" w:eastAsia="黑体" w:cs="黑体"/>
          <w:kern w:val="0"/>
          <w:sz w:val="32"/>
          <w:szCs w:val="32"/>
        </w:rPr>
        <w:t>支出</w:t>
      </w:r>
      <w:r>
        <w:rPr>
          <w:rFonts w:hint="eastAsia" w:ascii="黑体" w:hAnsi="Calibri" w:eastAsia="黑体"/>
          <w:sz w:val="32"/>
          <w:szCs w:val="32"/>
        </w:rPr>
        <w:t>决算总体情况说明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年度收入总计（含结转和结余）2934.74万元。与2018年度决算相比，收入增加1109.53万元，增长60.79%，主要原因是本年度新增政府债券利息、增加了一事一议项目支出，增加了财税大数据云平台建设费用等。支出总计（含结转和结余）293</w:t>
      </w:r>
      <w:r>
        <w:rPr>
          <w:rFonts w:hint="eastAsia" w:ascii="仿宋_GB2312" w:hAnsi="Times New Roman" w:eastAsia="仿宋_GB2312" w:cs="DengXian-Regular"/>
          <w:sz w:val="32"/>
          <w:szCs w:val="32"/>
          <w:lang w:val="en-US" w:eastAsia="zh-CN"/>
        </w:rPr>
        <w:t>4.74</w:t>
      </w:r>
      <w:r>
        <w:rPr>
          <w:rFonts w:ascii="仿宋_GB2312" w:hAnsi="Times New Roman" w:eastAsia="仿宋_GB2312" w:cs="DengXian-Regular"/>
          <w:sz w:val="32"/>
          <w:szCs w:val="32"/>
        </w:rPr>
        <w:t>万元。与2018年度决算相比，支出增加1538.36万元，增长110.33%，主要原因是本年度新增政府债券利息支出、增加了一事一</w:t>
      </w:r>
      <w:r>
        <w:rPr>
          <w:rFonts w:hint="eastAsia" w:ascii="仿宋_GB2312" w:hAnsi="Times New Roman" w:eastAsia="仿宋_GB2312" w:cs="DengXian-Regular"/>
          <w:sz w:val="32"/>
          <w:szCs w:val="32"/>
        </w:rPr>
        <w:t>议项目支出，增加了财税大数据云平台建设费用支出等。</w:t>
      </w:r>
    </w:p>
    <w:p>
      <w:pPr>
        <w:keepNext/>
        <w:keepLines/>
        <w:snapToGrid w:val="0"/>
        <w:spacing w:line="580" w:lineRule="exact"/>
        <w:ind w:firstLine="640" w:firstLineChars="200"/>
        <w:outlineLvl w:val="1"/>
        <w:rPr>
          <w:rFonts w:ascii="黑体" w:hAnsi="Calibri" w:eastAsia="黑体"/>
          <w:sz w:val="32"/>
          <w:szCs w:val="32"/>
        </w:rPr>
      </w:pPr>
      <w:r>
        <w:rPr>
          <w:rFonts w:hint="eastAsia" w:ascii="黑体" w:hAnsi="Calibri" w:eastAsia="黑体"/>
          <w:sz w:val="32"/>
          <w:szCs w:val="32"/>
        </w:rPr>
        <w:t>二、收入决算情况说明</w:t>
      </w:r>
    </w:p>
    <w:p>
      <w:pPr>
        <w:adjustRightInd w:val="0"/>
        <w:snapToGrid w:val="0"/>
        <w:spacing w:line="580" w:lineRule="exact"/>
        <w:ind w:firstLine="640" w:firstLineChars="200"/>
        <w:rPr>
          <w:rFonts w:ascii="仿宋_GB2312" w:hAnsi="Times New Roman" w:eastAsia="仿宋_GB2312" w:cs="DengXian-Regular"/>
          <w:sz w:val="32"/>
          <w:szCs w:val="32"/>
          <w:highlight w:val="yellow"/>
        </w:rPr>
      </w:pP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2019年度本年收入合计2642.35万元，其中：财政拨款收入2642.35万元，占100%</w:t>
      </w:r>
      <w:r>
        <w:rPr>
          <w:rFonts w:hint="eastAsia" w:ascii="仿宋_GB2312" w:hAnsi="Times New Roman" w:eastAsia="仿宋_GB2312" w:cs="DengXian-Regular"/>
          <w:sz w:val="32"/>
          <w:szCs w:val="32"/>
        </w:rPr>
        <w:t>；事业收入0万元，占0</w:t>
      </w:r>
      <w:r>
        <w:rPr>
          <w:rFonts w:ascii="仿宋_GB2312" w:hAnsi="Times New Roman" w:eastAsia="仿宋_GB2312" w:cs="DengXian-Regular"/>
          <w:sz w:val="32"/>
          <w:szCs w:val="32"/>
        </w:rPr>
        <w:t>%</w:t>
      </w:r>
      <w:r>
        <w:rPr>
          <w:rFonts w:hint="eastAsia" w:ascii="仿宋_GB2312" w:hAnsi="Times New Roman" w:eastAsia="仿宋_GB2312" w:cs="DengXian-Regular"/>
          <w:sz w:val="32"/>
          <w:szCs w:val="32"/>
        </w:rPr>
        <w:t>；经营收入0万元，占0</w:t>
      </w:r>
      <w:r>
        <w:rPr>
          <w:rFonts w:ascii="仿宋_GB2312" w:hAnsi="Times New Roman" w:eastAsia="仿宋_GB2312" w:cs="DengXian-Regular"/>
          <w:sz w:val="32"/>
          <w:szCs w:val="32"/>
        </w:rPr>
        <w:t>%</w:t>
      </w:r>
      <w:r>
        <w:rPr>
          <w:rFonts w:hint="eastAsia" w:ascii="仿宋_GB2312" w:hAnsi="Times New Roman" w:eastAsia="仿宋_GB2312" w:cs="DengXian-Regular"/>
          <w:sz w:val="32"/>
          <w:szCs w:val="32"/>
        </w:rPr>
        <w:t>；其他收入0万元，占0</w:t>
      </w:r>
      <w:r>
        <w:rPr>
          <w:rFonts w:ascii="仿宋_GB2312" w:hAnsi="Times New Roman" w:eastAsia="仿宋_GB2312" w:cs="DengXian-Regular"/>
          <w:sz w:val="32"/>
          <w:szCs w:val="32"/>
        </w:rPr>
        <w:t>%</w:t>
      </w:r>
      <w:r>
        <w:rPr>
          <w:rFonts w:hint="eastAsia" w:ascii="仿宋_GB2312" w:hAnsi="Times New Roman" w:eastAsia="仿宋_GB2312" w:cs="DengXian-Regular"/>
          <w:sz w:val="32"/>
          <w:szCs w:val="32"/>
        </w:rPr>
        <w:t>。</w:t>
      </w:r>
      <w:r>
        <mc:AlternateContent>
          <mc:Choice Requires="wpg">
            <w:drawing>
              <wp:anchor distT="0" distB="0" distL="114300" distR="114300" simplePos="0" relativeHeight="251665408" behindDoc="0" locked="0" layoutInCell="1" allowOverlap="1">
                <wp:simplePos x="0" y="0"/>
                <wp:positionH relativeFrom="column">
                  <wp:posOffset>1434465</wp:posOffset>
                </wp:positionH>
                <wp:positionV relativeFrom="paragraph">
                  <wp:posOffset>338455</wp:posOffset>
                </wp:positionV>
                <wp:extent cx="3921125" cy="2762250"/>
                <wp:effectExtent l="0" t="0" r="0" b="0"/>
                <wp:wrapNone/>
                <wp:docPr id="10" name="Group 39"/>
                <wp:cNvGraphicFramePr/>
                <a:graphic xmlns:a="http://schemas.openxmlformats.org/drawingml/2006/main">
                  <a:graphicData uri="http://schemas.microsoft.com/office/word/2010/wordprocessingGroup">
                    <wpg:wgp>
                      <wpg:cNvGrpSpPr/>
                      <wpg:grpSpPr>
                        <a:xfrm>
                          <a:off x="0" y="0"/>
                          <a:ext cx="3921125" cy="2762250"/>
                          <a:chOff x="6817" y="180284"/>
                          <a:chExt cx="5156" cy="3464203"/>
                        </a:xfrm>
                      </wpg:grpSpPr>
                      <pic:pic xmlns:pic="http://schemas.openxmlformats.org/drawingml/2006/picture">
                        <pic:nvPicPr>
                          <pic:cNvPr id="11" name="图片 1"/>
                          <pic:cNvPicPr>
                            <a:picLocks noChangeAspect="1" noChangeArrowheads="1"/>
                          </pic:cNvPicPr>
                        </pic:nvPicPr>
                        <pic:blipFill>
                          <a:blip r:embed="rId14">
                            <a:extLst>
                              <a:ext uri="{28A0092B-C50C-407E-A947-70E740481C1C}">
                                <a14:useLocalDpi xmlns:a14="http://schemas.microsoft.com/office/drawing/2010/main" val="0"/>
                              </a:ext>
                            </a:extLst>
                          </a:blip>
                          <a:srcRect l="3252" t="2274" r="1859" b="7961"/>
                          <a:stretch>
                            <a:fillRect/>
                          </a:stretch>
                        </pic:blipFill>
                        <pic:spPr>
                          <a:xfrm>
                            <a:off x="6817" y="180284"/>
                            <a:ext cx="5156" cy="2988"/>
                          </a:xfrm>
                          <a:prstGeom prst="rect">
                            <a:avLst/>
                          </a:prstGeom>
                          <a:noFill/>
                        </pic:spPr>
                      </pic:pic>
                      <wps:wsp>
                        <wps:cNvPr id="12" name="文本框 32"/>
                        <wps:cNvSpPr txBox="1">
                          <a:spLocks noChangeArrowheads="1"/>
                        </wps:cNvSpPr>
                        <wps:spPr bwMode="auto">
                          <a:xfrm>
                            <a:off x="7580" y="183134"/>
                            <a:ext cx="3630" cy="615"/>
                          </a:xfrm>
                          <a:prstGeom prst="rect">
                            <a:avLst/>
                          </a:prstGeom>
                          <a:solidFill>
                            <a:srgbClr val="FFFFFF"/>
                          </a:solidFill>
                          <a:ln>
                            <a:noFill/>
                          </a:ln>
                        </wps:spPr>
                        <wps:txbx>
                          <w:txbxContent>
                            <w:p>
                              <w:pPr>
                                <w:adjustRightInd w:val="0"/>
                                <w:snapToGrid w:val="0"/>
                                <w:spacing w:after="160" w:line="560" w:lineRule="exact"/>
                                <w:jc w:val="center"/>
                                <w:rPr>
                                  <w:rFonts w:ascii="仿宋_GB2312" w:hAnsi="Times New Roman" w:eastAsia="仿宋_GB2312" w:cs="DengXian-Regular"/>
                                  <w:sz w:val="28"/>
                                  <w:szCs w:val="28"/>
                                </w:rPr>
                              </w:pPr>
                              <w:r>
                                <w:rPr>
                                  <w:rFonts w:hint="eastAsia" w:ascii="仿宋_GB2312" w:hAnsi="Times New Roman" w:eastAsia="仿宋_GB2312" w:cs="DengXian-Regular"/>
                                  <w:sz w:val="28"/>
                                  <w:szCs w:val="28"/>
                                </w:rPr>
                                <w:t>图</w:t>
                              </w:r>
                              <w:r>
                                <w:rPr>
                                  <w:rFonts w:ascii="仿宋_GB2312" w:hAnsi="Times New Roman" w:eastAsia="仿宋_GB2312" w:cs="DengXian-Regular"/>
                                  <w:sz w:val="28"/>
                                  <w:szCs w:val="28"/>
                                </w:rPr>
                                <w:t>X</w:t>
                              </w:r>
                              <w:r>
                                <w:rPr>
                                  <w:rFonts w:hint="eastAsia" w:ascii="仿宋_GB2312" w:hAnsi="Times New Roman" w:eastAsia="仿宋_GB2312" w:cs="DengXian-Regular"/>
                                  <w:sz w:val="28"/>
                                  <w:szCs w:val="28"/>
                                </w:rPr>
                                <w:t>：收入构成情况</w:t>
                              </w:r>
                            </w:p>
                            <w:p>
                              <w:pPr>
                                <w:spacing w:after="160" w:line="480" w:lineRule="auto"/>
                                <w:rPr>
                                  <w:rFonts w:ascii="Times New Roman" w:hAnsi="Times New Roman" w:eastAsia="宋体"/>
                                  <w:sz w:val="20"/>
                                </w:rPr>
                              </w:pPr>
                            </w:p>
                          </w:txbxContent>
                        </wps:txbx>
                        <wps:bodyPr rot="0" vert="horz" wrap="square" lIns="91440" tIns="45720" rIns="91440" bIns="45720" anchor="t" anchorCtr="0" upright="1">
                          <a:noAutofit/>
                        </wps:bodyPr>
                      </wps:wsp>
                    </wpg:wgp>
                  </a:graphicData>
                </a:graphic>
              </wp:anchor>
            </w:drawing>
          </mc:Choice>
          <mc:Fallback>
            <w:pict>
              <v:group id="Group 39" o:spid="_x0000_s1026" o:spt="203" style="position:absolute;left:0pt;margin-left:112.95pt;margin-top:26.65pt;height:217.5pt;width:308.75pt;z-index:251665408;mso-width-relative:page;mso-height-relative:page;" coordorigin="6817,180284" coordsize="5156,3464203" o:gfxdata="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">
                <o:lock v:ext="edit" aspectratio="f"/>
                <v:shape id="图片 1" o:spid="_x0000_s1026" o:spt="75" type="#_x0000_t75" style="position:absolute;left:6817;top:180284;height:2988;width:5156;" filled="f" o:preferrelative="t" stroked="f" coordsize="21600,21600" o:gfxdata="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J5zNAbUAAADbAAAADwAA&#10;AAAAAAABACAAAAAiAAAAZHJzL2Rvd25yZXYueG1sUEsBAhQAFAAAAAgAh07iQDMvBZ47AAAAOQAA&#10;ABAAAAAAAAAAAQAgAAAABAEAAGRycy9zaGFwZXhtbC54bWxQSwUGAAAAAAYABgBbAQAArgMAAAAA&#10;">
                  <v:fill on="f" focussize="0,0"/>
                  <v:stroke on="f"/>
                  <v:imagedata r:id="rId14" cropleft="2131f" croptop="1490f" cropright="1218f" cropbottom="5217f" o:title=""/>
                  <o:lock v:ext="edit" aspectratio="t"/>
                </v:shape>
                <v:shape id="文本框 32" o:spid="_x0000_s1026" o:spt="202" type="#_x0000_t202" style="position:absolute;left:7580;top:183134;height:615;width:3630;" fillcolor="#FFFFFF" filled="t" stroked="f" coordsize="21600,21600" o:gfxdata="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A3Mk562AAAA2wAAAA8A&#10;AAAAAAAAAQAgAAAAIgAAAGRycy9kb3ducmV2LnhtbFBLAQIUABQAAAAIAIdO4kAzLwWeOwAAADkA&#10;AAAQAAAAAAAAAAEAIAAAAAUBAABkcnMvc2hhcGV4bWwueG1sUEsFBgAAAAAGAAYAWwEAAK8DAAAA&#10;AA==&#10;">
                  <v:fill on="t" focussize="0,0"/>
                  <v:stroke on="f"/>
                  <v:imagedata o:title=""/>
                  <o:lock v:ext="edit" aspectratio="f"/>
                  <v:textbox>
                    <w:txbxContent>
                      <w:p>
                        <w:pPr>
                          <w:adjustRightInd w:val="0"/>
                          <w:snapToGrid w:val="0"/>
                          <w:spacing w:after="160" w:line="560" w:lineRule="exact"/>
                          <w:jc w:val="center"/>
                          <w:rPr>
                            <w:rFonts w:ascii="仿宋_GB2312" w:hAnsi="Times New Roman" w:eastAsia="仿宋_GB2312" w:cs="DengXian-Regular"/>
                            <w:sz w:val="28"/>
                            <w:szCs w:val="28"/>
                          </w:rPr>
                        </w:pPr>
                        <w:r>
                          <w:rPr>
                            <w:rFonts w:hint="eastAsia" w:ascii="仿宋_GB2312" w:hAnsi="Times New Roman" w:eastAsia="仿宋_GB2312" w:cs="DengXian-Regular"/>
                            <w:sz w:val="28"/>
                            <w:szCs w:val="28"/>
                          </w:rPr>
                          <w:t>图</w:t>
                        </w:r>
                        <w:r>
                          <w:rPr>
                            <w:rFonts w:ascii="仿宋_GB2312" w:hAnsi="Times New Roman" w:eastAsia="仿宋_GB2312" w:cs="DengXian-Regular"/>
                            <w:sz w:val="28"/>
                            <w:szCs w:val="28"/>
                          </w:rPr>
                          <w:t>X</w:t>
                        </w:r>
                        <w:r>
                          <w:rPr>
                            <w:rFonts w:hint="eastAsia" w:ascii="仿宋_GB2312" w:hAnsi="Times New Roman" w:eastAsia="仿宋_GB2312" w:cs="DengXian-Regular"/>
                            <w:sz w:val="28"/>
                            <w:szCs w:val="28"/>
                          </w:rPr>
                          <w:t>：收入构成情况</w:t>
                        </w:r>
                      </w:p>
                      <w:p>
                        <w:pPr>
                          <w:spacing w:after="160" w:line="480" w:lineRule="auto"/>
                          <w:rPr>
                            <w:rFonts w:ascii="Times New Roman" w:hAnsi="Times New Roman" w:eastAsia="宋体"/>
                            <w:sz w:val="20"/>
                          </w:rPr>
                        </w:pPr>
                      </w:p>
                    </w:txbxContent>
                  </v:textbox>
                </v:shape>
              </v:group>
            </w:pict>
          </mc:Fallback>
        </mc:AlternateContent>
      </w:r>
    </w:p>
    <w:p>
      <w:pPr>
        <w:keepNext/>
        <w:keepLines/>
        <w:snapToGrid w:val="0"/>
        <w:spacing w:line="580" w:lineRule="exact"/>
        <w:ind w:firstLine="640" w:firstLineChars="200"/>
        <w:outlineLvl w:val="1"/>
        <w:rPr>
          <w:rFonts w:ascii="黑体" w:hAnsi="Calibri" w:eastAsia="黑体"/>
          <w:sz w:val="32"/>
          <w:szCs w:val="32"/>
        </w:rPr>
      </w:pPr>
      <w:r>
        <w:rPr>
          <w:rFonts w:hint="eastAsia" w:ascii="黑体" w:hAnsi="Calibri" w:eastAsia="黑体"/>
          <w:sz w:val="32"/>
          <w:szCs w:val="32"/>
        </w:rPr>
        <w:t>三、支出决算情况说明</w:t>
      </w:r>
    </w:p>
    <w:p>
      <w:pPr>
        <w:adjustRightInd w:val="0"/>
        <w:snapToGrid w:val="0"/>
        <w:spacing w:line="580" w:lineRule="exact"/>
        <w:ind w:firstLine="640" w:firstLineChars="200"/>
        <w:rPr>
          <w:rFonts w:hint="eastAsia"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2019年度本年支出合计2932.65万元，按照支出性质划分，其中：基本支出878.44万元，占29.95%；项目支出2054.21万元，占70.05%</w:t>
      </w:r>
      <w:r>
        <w:rPr>
          <w:rFonts w:hint="eastAsia" w:ascii="仿宋_GB2312" w:hAnsi="Times New Roman" w:eastAsia="仿宋_GB2312" w:cs="DengXian-Regular"/>
          <w:sz w:val="32"/>
          <w:szCs w:val="32"/>
        </w:rPr>
        <w:t>；经营支出0万元，占0</w:t>
      </w:r>
      <w:r>
        <w:rPr>
          <w:rFonts w:ascii="仿宋_GB2312" w:hAnsi="Times New Roman" w:eastAsia="仿宋_GB2312" w:cs="DengXian-Regular"/>
          <w:sz w:val="32"/>
          <w:szCs w:val="32"/>
        </w:rPr>
        <w:t>%</w:t>
      </w:r>
      <w:r>
        <w:rPr>
          <w:rFonts w:hint="eastAsia" w:ascii="仿宋_GB2312" w:hAnsi="Times New Roman" w:eastAsia="仿宋_GB2312" w:cs="DengXian-Regular"/>
          <w:sz w:val="32"/>
          <w:szCs w:val="32"/>
        </w:rPr>
        <w:t>。如图所示：</w:t>
      </w:r>
    </w:p>
    <w:p>
      <w:pPr>
        <w:adjustRightInd w:val="0"/>
        <w:snapToGrid w:val="0"/>
        <w:spacing w:line="580" w:lineRule="exact"/>
        <w:ind w:firstLine="640" w:firstLineChars="200"/>
        <w:rPr>
          <w:rFonts w:hint="eastAsia" w:ascii="仿宋_GB2312" w:hAnsi="Times New Roman" w:eastAsia="仿宋_GB2312" w:cs="DengXian-Regular"/>
          <w:sz w:val="32"/>
          <w:szCs w:val="32"/>
        </w:rPr>
      </w:pPr>
    </w:p>
    <w:p>
      <w:pPr>
        <w:adjustRightInd w:val="0"/>
        <w:snapToGrid w:val="0"/>
        <w:spacing w:line="580" w:lineRule="exact"/>
        <w:ind w:firstLine="420" w:firstLineChars="200"/>
        <w:rPr>
          <w:rFonts w:hint="eastAsia" w:ascii="仿宋_GB2312" w:hAnsi="Times New Roman" w:eastAsia="仿宋_GB2312" w:cs="DengXian-Regular"/>
          <w:sz w:val="32"/>
          <w:szCs w:val="32"/>
        </w:rPr>
      </w:pPr>
      <w:r>
        <w:drawing>
          <wp:anchor distT="0" distB="0" distL="114300" distR="114300" simplePos="0" relativeHeight="251669504" behindDoc="0" locked="0" layoutInCell="1" allowOverlap="1">
            <wp:simplePos x="0" y="0"/>
            <wp:positionH relativeFrom="column">
              <wp:posOffset>789305</wp:posOffset>
            </wp:positionH>
            <wp:positionV relativeFrom="page">
              <wp:posOffset>7839075</wp:posOffset>
            </wp:positionV>
            <wp:extent cx="2867025" cy="2071370"/>
            <wp:effectExtent l="0" t="0" r="9525" b="24130"/>
            <wp:wrapSquare wrapText="bothSides"/>
            <wp:docPr id="27"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p>
    <w:p>
      <w:pPr>
        <w:adjustRightInd w:val="0"/>
        <w:snapToGrid w:val="0"/>
        <w:spacing w:line="580" w:lineRule="exact"/>
        <w:ind w:firstLine="640" w:firstLineChars="200"/>
        <w:rPr>
          <w:rFonts w:hint="eastAsia" w:ascii="仿宋_GB2312" w:hAnsi="Times New Roman" w:eastAsia="仿宋_GB2312" w:cs="DengXian-Regular"/>
          <w:sz w:val="32"/>
          <w:szCs w:val="32"/>
        </w:rPr>
      </w:pPr>
    </w:p>
    <w:p>
      <w:pPr>
        <w:keepNext/>
        <w:keepLines/>
        <w:snapToGrid w:val="0"/>
        <w:spacing w:line="580" w:lineRule="exact"/>
        <w:ind w:firstLine="640" w:firstLineChars="200"/>
        <w:outlineLvl w:val="1"/>
        <w:rPr>
          <w:rFonts w:ascii="黑体" w:hAnsi="Calibri" w:eastAsia="黑体"/>
          <w:sz w:val="32"/>
          <w:szCs w:val="32"/>
        </w:rPr>
      </w:pPr>
      <w:r>
        <w:rPr>
          <w:rFonts w:hint="eastAsia" w:ascii="黑体" w:hAnsi="Calibri" w:eastAsia="黑体"/>
          <w:sz w:val="32"/>
          <w:szCs w:val="32"/>
        </w:rPr>
        <w:t>四、</w:t>
      </w:r>
      <w:r>
        <w:rPr>
          <w:rFonts w:hint="eastAsia" w:ascii="黑体" w:hAnsi="Cambria" w:eastAsia="黑体" w:cs="黑体"/>
          <w:kern w:val="0"/>
          <w:sz w:val="32"/>
          <w:szCs w:val="32"/>
        </w:rPr>
        <w:t>财政</w:t>
      </w:r>
      <w:r>
        <w:rPr>
          <w:rFonts w:hint="eastAsia" w:ascii="黑体" w:hAnsi="Calibri" w:eastAsia="黑体"/>
          <w:sz w:val="32"/>
          <w:szCs w:val="32"/>
        </w:rPr>
        <w:t>拨款收入支出决算总体情况说明</w:t>
      </w:r>
    </w:p>
    <w:p>
      <w:pPr>
        <w:snapToGrid w:val="0"/>
        <w:spacing w:line="580" w:lineRule="exact"/>
        <w:ind w:firstLine="643" w:firstLine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（一）财政拨款收支与</w:t>
      </w:r>
      <w:r>
        <w:rPr>
          <w:rFonts w:ascii="楷体_GB2312" w:hAnsi="Times New Roman" w:eastAsia="楷体_GB2312" w:cs="DengXian-Bold"/>
          <w:b/>
          <w:bCs/>
          <w:sz w:val="32"/>
          <w:szCs w:val="32"/>
        </w:rPr>
        <w:t xml:space="preserve">2018 </w:t>
      </w:r>
      <w:r>
        <w:rPr>
          <w:rFonts w:hint="eastAsia" w:ascii="楷体_GB2312" w:hAnsi="Times New Roman" w:eastAsia="楷体_GB2312" w:cs="DengXian-Bold"/>
          <w:b/>
          <w:bCs/>
          <w:sz w:val="32"/>
          <w:szCs w:val="32"/>
        </w:rPr>
        <w:t>年度决算对比情况</w:t>
      </w:r>
    </w:p>
    <w:p>
      <w:pPr>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w:t>
      </w:r>
      <w:r>
        <w:rPr>
          <w:rFonts w:hint="eastAsia" w:ascii="仿宋_GB2312" w:hAnsi="Times New Roman" w:eastAsia="仿宋_GB2312" w:cs="DengXian-Regular"/>
          <w:sz w:val="32"/>
          <w:szCs w:val="32"/>
        </w:rPr>
        <w:t>年度财政拨款本年收入</w:t>
      </w:r>
      <w:r>
        <w:rPr>
          <w:rFonts w:ascii="仿宋_GB2312" w:hAnsi="Times New Roman" w:eastAsia="仿宋_GB2312" w:cs="DengXian-Regular"/>
          <w:sz w:val="32"/>
          <w:szCs w:val="32"/>
        </w:rPr>
        <w:t>2642.35万元,比2018年度增加837.16万元，增长46.38%，主要原因是本年度新增政府债券利息、增加了一事一议项目支出，增加了财税大数据云平台建设费用等；本年支出2932.65万元，比2018年度增加1538.36万元，增长110.33%，主要是本年度新增政府债券利息支出、增加了一事一议项目支出，增加了财税大数据云平台建设费用支出等。具体情况如下：</w:t>
      </w:r>
    </w:p>
    <w:p>
      <w:pPr>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1、一般公共预算财政拨款本年收入</w:t>
      </w:r>
      <w:r>
        <w:rPr>
          <w:rFonts w:ascii="仿宋_GB2312" w:hAnsi="Times New Roman" w:eastAsia="仿宋_GB2312" w:cs="DengXian-Regular"/>
          <w:sz w:val="32"/>
          <w:szCs w:val="32"/>
        </w:rPr>
        <w:t>2448.19万元，比上年增加777.17万元</w:t>
      </w:r>
      <w:r>
        <w:rPr>
          <w:rFonts w:hint="eastAsia" w:ascii="仿宋_GB2312" w:hAnsi="Times New Roman" w:eastAsia="仿宋_GB2312" w:cs="DengXian-Regular"/>
          <w:sz w:val="32"/>
          <w:szCs w:val="32"/>
        </w:rPr>
        <w:t>，增长46.51</w:t>
      </w:r>
      <w:r>
        <w:rPr>
          <w:rFonts w:ascii="仿宋_GB2312" w:hAnsi="Times New Roman" w:eastAsia="仿宋_GB2312" w:cs="DengXian-Regular"/>
          <w:sz w:val="32"/>
          <w:szCs w:val="32"/>
        </w:rPr>
        <w:t>%</w:t>
      </w:r>
      <w:r>
        <w:rPr>
          <w:rFonts w:hint="eastAsia" w:ascii="仿宋_GB2312" w:hAnsi="Times New Roman" w:eastAsia="仿宋_GB2312" w:cs="DengXian-Regular"/>
          <w:sz w:val="32"/>
          <w:szCs w:val="32"/>
        </w:rPr>
        <w:t>，</w:t>
      </w:r>
      <w:r>
        <w:rPr>
          <w:rFonts w:ascii="仿宋_GB2312" w:hAnsi="Times New Roman" w:eastAsia="仿宋_GB2312" w:cs="DengXian-Regular"/>
          <w:sz w:val="32"/>
          <w:szCs w:val="32"/>
        </w:rPr>
        <w:t>主要是新增政府债券利息、增加了一事一议项目支出，增加了财税大数据云平台建设费用；本年支出</w:t>
      </w:r>
      <w:r>
        <w:rPr>
          <w:rFonts w:hint="eastAsia" w:ascii="仿宋_GB2312" w:hAnsi="Times New Roman" w:eastAsia="仿宋_GB2312" w:cs="DengXian-Regular"/>
          <w:sz w:val="32"/>
          <w:szCs w:val="32"/>
        </w:rPr>
        <w:t>2738.50</w:t>
      </w:r>
      <w:r>
        <w:rPr>
          <w:rFonts w:ascii="仿宋_GB2312" w:hAnsi="Times New Roman" w:eastAsia="仿宋_GB2312" w:cs="DengXian-Regular"/>
          <w:sz w:val="32"/>
          <w:szCs w:val="32"/>
        </w:rPr>
        <w:t>万元，比上年增加</w:t>
      </w:r>
      <w:r>
        <w:rPr>
          <w:rFonts w:hint="eastAsia" w:ascii="仿宋_GB2312" w:hAnsi="Times New Roman" w:eastAsia="仿宋_GB2312" w:cs="DengXian-Regular"/>
          <w:sz w:val="32"/>
          <w:szCs w:val="32"/>
        </w:rPr>
        <w:t>1478.38</w:t>
      </w:r>
      <w:r>
        <w:rPr>
          <w:rFonts w:ascii="仿宋_GB2312" w:hAnsi="Times New Roman" w:eastAsia="仿宋_GB2312" w:cs="DengXian-Regular"/>
          <w:sz w:val="32"/>
          <w:szCs w:val="32"/>
        </w:rPr>
        <w:t>万元，增长</w:t>
      </w:r>
      <w:r>
        <w:rPr>
          <w:rFonts w:hint="eastAsia" w:ascii="仿宋_GB2312" w:hAnsi="Times New Roman" w:eastAsia="仿宋_GB2312" w:cs="DengXian-Regular"/>
          <w:sz w:val="32"/>
          <w:szCs w:val="32"/>
          <w:lang w:val="en-US" w:eastAsia="zh-CN"/>
        </w:rPr>
        <w:t>117.32</w:t>
      </w:r>
      <w:r>
        <w:rPr>
          <w:rFonts w:ascii="仿宋_GB2312" w:hAnsi="Times New Roman" w:eastAsia="仿宋_GB2312" w:cs="DengXian-Regular"/>
          <w:sz w:val="32"/>
          <w:szCs w:val="32"/>
        </w:rPr>
        <w:t>%，主要是本年度新增政府债券利息支出、增加了一事一议项目支出，增加了财税大数据云平台建设费用支出等。</w:t>
      </w:r>
    </w:p>
    <w:p>
      <w:pPr>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2、政府性基金预算财政拨款本年收入</w:t>
      </w:r>
      <w:r>
        <w:rPr>
          <w:rFonts w:ascii="仿宋_GB2312" w:hAnsi="Times New Roman" w:eastAsia="仿宋_GB2312" w:cs="DengXian-Regular"/>
          <w:sz w:val="32"/>
          <w:szCs w:val="32"/>
        </w:rPr>
        <w:t>194.16万元，比上年增加60.02万元，增长44.73%，主要原因是新增政府债券利息；本年支出194.16万元，比上年增加60.02万元，增长44.73%，主要是新增政府债券利息。</w:t>
      </w:r>
    </w:p>
    <w:p>
      <w:pPr>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具体情况如下图：</w:t>
      </w:r>
    </w:p>
    <w:p>
      <w:pPr>
        <w:snapToGrid w:val="0"/>
        <w:spacing w:line="580" w:lineRule="exact"/>
        <w:rPr>
          <w:rFonts w:ascii="仿宋_GB2312" w:hAnsi="Times New Roman" w:eastAsia="仿宋_GB2312" w:cs="DengXian-Regular"/>
          <w:sz w:val="32"/>
          <w:szCs w:val="32"/>
        </w:rPr>
      </w:pPr>
      <w:r>
        <w:drawing>
          <wp:anchor distT="0" distB="0" distL="114300" distR="114300" simplePos="0" relativeHeight="251670528" behindDoc="1" locked="0" layoutInCell="1" allowOverlap="1">
            <wp:simplePos x="0" y="0"/>
            <wp:positionH relativeFrom="column">
              <wp:posOffset>431800</wp:posOffset>
            </wp:positionH>
            <wp:positionV relativeFrom="paragraph">
              <wp:posOffset>-231140</wp:posOffset>
            </wp:positionV>
            <wp:extent cx="4572000" cy="2743200"/>
            <wp:effectExtent l="0" t="0" r="19050" b="19050"/>
            <wp:wrapTight wrapText="bothSides">
              <wp:wrapPolygon>
                <wp:start x="0" y="0"/>
                <wp:lineTo x="0" y="21600"/>
                <wp:lineTo x="21600" y="21600"/>
                <wp:lineTo x="21600" y="0"/>
                <wp:lineTo x="0" y="0"/>
              </wp:wrapPolygon>
            </wp:wrapTight>
            <wp:docPr id="28"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anchor>
        </w:drawing>
      </w:r>
    </w:p>
    <w:p>
      <w:pPr>
        <w:snapToGrid w:val="0"/>
        <w:spacing w:line="580" w:lineRule="exact"/>
        <w:ind w:firstLine="643" w:firstLineChars="200"/>
        <w:rPr>
          <w:rFonts w:ascii="楷体_GB2312" w:hAnsi="Times New Roman" w:eastAsia="楷体_GB2312" w:cs="DengXian-Bold"/>
          <w:b/>
          <w:bCs/>
          <w:sz w:val="32"/>
          <w:szCs w:val="32"/>
        </w:rPr>
      </w:pPr>
    </w:p>
    <w:p>
      <w:pPr>
        <w:snapToGrid w:val="0"/>
        <w:spacing w:line="580" w:lineRule="exact"/>
        <w:ind w:firstLine="643" w:firstLineChars="200"/>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（二）财政拨款收支与年初预算数对比情况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年度财政拨款本年收入2642.35万元，完成年初预算的65.67%,比年初预算减少1381.49万元，决算数小于预算数，主要原因是年初预算列入我单位的综合农业直补项目未拨款到我单位，而是由专户直接拨款到乡镇，由乡镇发放；本年支出2932.65万元，完成年初预算的72.88%,比年初预算减少1091.19万元，决算数小于预算数主要原因是主要是年初预算列入我单位的综合农业直补项目决算时，未列入我单位，由各个乡镇支出。具体情况如下：</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1、一般公共预算财政拨款本年收入完成年初预算</w:t>
      </w:r>
      <w:r>
        <w:rPr>
          <w:rFonts w:ascii="仿宋_GB2312" w:hAnsi="Times New Roman" w:eastAsia="仿宋_GB2312" w:cs="DengXian-Regular"/>
          <w:sz w:val="32"/>
          <w:szCs w:val="32"/>
        </w:rPr>
        <w:t>63.97%，比年初预算减少1379.06万元，主要是年初预算列入我单位的综合农业直补项目未拨款到我单位，而是由专户直接拨款到乡镇，由乡镇发放；支出完成年初预算63.97%，比年初预算减少1379.06万元，主要是年初预算列入我单位的综合农业直补项目决算时，未列入我单位，由各个乡镇支出。</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2、政府性基金预算财政拨款本年收入完成年初预算</w:t>
      </w:r>
      <w:r>
        <w:rPr>
          <w:rFonts w:ascii="仿宋_GB2312" w:hAnsi="Times New Roman" w:eastAsia="仿宋_GB2312" w:cs="DengXian-Regular"/>
          <w:sz w:val="32"/>
          <w:szCs w:val="32"/>
        </w:rPr>
        <w:t>98.76%，比年初预算减少2.43万元，主要是债券利息剩余及部分付息服务费未列入决算由国库代列；支出完成年初预算98.76%，比年初预算减少2.43万元，主要是债券利息剩余及部分付息服务费未列入决算由国库代列。</w:t>
      </w:r>
    </w:p>
    <w:p>
      <w:pPr>
        <w:numPr>
          <w:ilvl w:val="0"/>
          <w:numId w:val="1"/>
        </w:numPr>
        <w:adjustRightInd w:val="0"/>
        <w:snapToGrid w:val="0"/>
        <w:spacing w:line="580" w:lineRule="exact"/>
        <w:ind w:left="420" w:left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财政拨款支出决算结构情况。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ascii="仿宋_GB2312" w:hAnsi="Times New Roman" w:eastAsia="仿宋_GB2312" w:cs="DengXian-Regular"/>
          <w:sz w:val="32"/>
          <w:szCs w:val="32"/>
        </w:rPr>
        <w:t>2019 年度财政拨款支出2932.65万元，主要用于以下方面：一般公共服务（类）支出1087.38万元，占37</w:t>
      </w:r>
      <w:r>
        <w:rPr>
          <w:rFonts w:hint="eastAsia" w:ascii="仿宋_GB2312" w:hAnsi="Times New Roman" w:eastAsia="仿宋_GB2312" w:cs="DengXian-Regular"/>
          <w:sz w:val="32"/>
          <w:szCs w:val="32"/>
        </w:rPr>
        <w:t>.08</w:t>
      </w:r>
      <w:r>
        <w:rPr>
          <w:rFonts w:ascii="仿宋_GB2312" w:hAnsi="Times New Roman" w:eastAsia="仿宋_GB2312" w:cs="DengXian-Regular"/>
          <w:sz w:val="32"/>
          <w:szCs w:val="32"/>
        </w:rPr>
        <w:t>%；农林水支出1403.09万元，占4</w:t>
      </w:r>
      <w:r>
        <w:rPr>
          <w:rFonts w:hint="eastAsia" w:ascii="仿宋_GB2312" w:hAnsi="Times New Roman" w:eastAsia="仿宋_GB2312" w:cs="DengXian-Regular"/>
          <w:sz w:val="32"/>
          <w:szCs w:val="32"/>
        </w:rPr>
        <w:t>7.84</w:t>
      </w:r>
      <w:r>
        <w:rPr>
          <w:rFonts w:ascii="仿宋_GB2312" w:hAnsi="Times New Roman" w:eastAsia="仿宋_GB2312" w:cs="DengXian-Regular"/>
          <w:sz w:val="32"/>
          <w:szCs w:val="32"/>
        </w:rPr>
        <w:t>%；社会保障和就业（类）支出 133.51万元，占4</w:t>
      </w:r>
      <w:r>
        <w:rPr>
          <w:rFonts w:hint="eastAsia" w:ascii="仿宋_GB2312" w:hAnsi="Times New Roman" w:eastAsia="仿宋_GB2312" w:cs="DengXian-Regular"/>
          <w:sz w:val="32"/>
          <w:szCs w:val="32"/>
        </w:rPr>
        <w:t>.55</w:t>
      </w:r>
      <w:r>
        <w:rPr>
          <w:rFonts w:ascii="仿宋_GB2312" w:hAnsi="Times New Roman" w:eastAsia="仿宋_GB2312" w:cs="DengXian-Regular"/>
          <w:sz w:val="32"/>
          <w:szCs w:val="32"/>
        </w:rPr>
        <w:t>%；住房保障（类）支出26.51万元，占</w:t>
      </w:r>
      <w:r>
        <w:rPr>
          <w:rFonts w:hint="eastAsia" w:ascii="仿宋_GB2312" w:hAnsi="Times New Roman" w:eastAsia="仿宋_GB2312" w:cs="DengXian-Regular"/>
          <w:sz w:val="32"/>
          <w:szCs w:val="32"/>
        </w:rPr>
        <w:t>0.90</w:t>
      </w:r>
      <w:r>
        <w:rPr>
          <w:rFonts w:ascii="仿宋_GB2312" w:hAnsi="Times New Roman" w:eastAsia="仿宋_GB2312" w:cs="DengXian-Regular"/>
          <w:sz w:val="32"/>
          <w:szCs w:val="32"/>
        </w:rPr>
        <w:t>%;卫生健康支出29.50万元，占1</w:t>
      </w:r>
      <w:r>
        <w:rPr>
          <w:rFonts w:hint="eastAsia" w:ascii="仿宋_GB2312" w:hAnsi="Times New Roman" w:eastAsia="仿宋_GB2312" w:cs="DengXian-Regular"/>
          <w:sz w:val="32"/>
          <w:szCs w:val="32"/>
        </w:rPr>
        <w:t>.01</w:t>
      </w:r>
      <w:r>
        <w:rPr>
          <w:rFonts w:ascii="仿宋_GB2312" w:hAnsi="Times New Roman" w:eastAsia="仿宋_GB2312" w:cs="DengXian-Regular"/>
          <w:sz w:val="32"/>
          <w:szCs w:val="32"/>
        </w:rPr>
        <w:t>%；债务付息支出252.65万元，占</w:t>
      </w:r>
      <w:r>
        <w:rPr>
          <w:rFonts w:hint="eastAsia" w:ascii="仿宋_GB2312" w:hAnsi="Times New Roman" w:eastAsia="仿宋_GB2312" w:cs="DengXian-Regular"/>
          <w:sz w:val="32"/>
          <w:szCs w:val="32"/>
        </w:rPr>
        <w:t>8.62</w:t>
      </w:r>
      <w:r>
        <w:rPr>
          <w:rFonts w:ascii="仿宋_GB2312" w:hAnsi="Times New Roman" w:eastAsia="仿宋_GB2312" w:cs="DengXian-Regular"/>
          <w:sz w:val="32"/>
          <w:szCs w:val="32"/>
        </w:rPr>
        <w:t>%。</w:t>
      </w:r>
    </w:p>
    <w:p>
      <w:pPr>
        <w:adjustRightInd w:val="0"/>
        <w:snapToGrid w:val="0"/>
        <w:spacing w:line="580" w:lineRule="exact"/>
        <w:rPr>
          <w:rFonts w:ascii="楷体_GB2312" w:hAnsi="Times New Roman" w:eastAsia="楷体_GB2312" w:cs="DengXian-Bold"/>
          <w:b/>
          <w:bCs/>
          <w:sz w:val="32"/>
          <w:szCs w:val="32"/>
        </w:rPr>
      </w:pPr>
      <w:r>
        <w:drawing>
          <wp:anchor distT="0" distB="0" distL="114300" distR="114300" simplePos="0" relativeHeight="251671552" behindDoc="1" locked="0" layoutInCell="1" allowOverlap="1">
            <wp:simplePos x="0" y="0"/>
            <wp:positionH relativeFrom="column">
              <wp:posOffset>436880</wp:posOffset>
            </wp:positionH>
            <wp:positionV relativeFrom="page">
              <wp:posOffset>6166485</wp:posOffset>
            </wp:positionV>
            <wp:extent cx="4819650" cy="2743200"/>
            <wp:effectExtent l="0" t="0" r="19050" b="19050"/>
            <wp:wrapTight wrapText="bothSides">
              <wp:wrapPolygon>
                <wp:start x="0" y="0"/>
                <wp:lineTo x="0" y="21600"/>
                <wp:lineTo x="21600" y="21600"/>
                <wp:lineTo x="21600" y="0"/>
                <wp:lineTo x="0" y="0"/>
              </wp:wrapPolygon>
            </wp:wrapTight>
            <wp:docPr id="29"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anchor>
        </w:drawing>
      </w:r>
    </w:p>
    <w:p>
      <w:pPr>
        <w:adjustRightInd w:val="0"/>
        <w:snapToGrid w:val="0"/>
        <w:spacing w:line="580" w:lineRule="exact"/>
        <w:rPr>
          <w:rFonts w:ascii="楷体_GB2312" w:hAnsi="Times New Roman" w:eastAsia="楷体_GB2312" w:cs="DengXian-Bold"/>
          <w:b/>
          <w:bCs/>
          <w:sz w:val="32"/>
          <w:szCs w:val="32"/>
        </w:rPr>
      </w:pPr>
    </w:p>
    <w:p>
      <w:pPr>
        <w:adjustRightInd w:val="0"/>
        <w:snapToGrid w:val="0"/>
        <w:spacing w:line="580" w:lineRule="exact"/>
        <w:rPr>
          <w:rFonts w:ascii="楷体_GB2312" w:hAnsi="Times New Roman" w:eastAsia="楷体_GB2312" w:cs="DengXian-Bold"/>
          <w:b/>
          <w:bCs/>
          <w:sz w:val="32"/>
          <w:szCs w:val="32"/>
        </w:rPr>
      </w:pPr>
    </w:p>
    <w:p>
      <w:pPr>
        <w:adjustRightInd w:val="0"/>
        <w:snapToGrid w:val="0"/>
        <w:spacing w:line="580" w:lineRule="exact"/>
        <w:rPr>
          <w:rFonts w:ascii="楷体_GB2312" w:hAnsi="Times New Roman" w:eastAsia="楷体_GB2312" w:cs="DengXian-Bold"/>
          <w:b/>
          <w:bCs/>
          <w:sz w:val="32"/>
          <w:szCs w:val="32"/>
        </w:rPr>
      </w:pPr>
    </w:p>
    <w:p>
      <w:pPr>
        <w:adjustRightInd w:val="0"/>
        <w:snapToGrid w:val="0"/>
        <w:spacing w:line="580" w:lineRule="exact"/>
        <w:rPr>
          <w:rFonts w:ascii="楷体_GB2312" w:hAnsi="Times New Roman" w:eastAsia="楷体_GB2312" w:cs="DengXian-Bold"/>
          <w:b/>
          <w:bCs/>
          <w:sz w:val="32"/>
          <w:szCs w:val="32"/>
        </w:rPr>
      </w:pPr>
    </w:p>
    <w:p>
      <w:pPr>
        <w:adjustRightInd w:val="0"/>
        <w:snapToGrid w:val="0"/>
        <w:spacing w:line="580" w:lineRule="exact"/>
        <w:ind w:left="420" w:leftChars="200"/>
        <w:rPr>
          <w:rFonts w:ascii="楷体_GB2312" w:hAnsi="Times New Roman" w:eastAsia="楷体_GB2312" w:cs="DengXian-Bold"/>
          <w:b/>
          <w:bCs/>
          <w:sz w:val="32"/>
          <w:szCs w:val="32"/>
        </w:rPr>
      </w:pPr>
    </w:p>
    <w:p>
      <w:pPr>
        <w:adjustRightInd w:val="0"/>
        <w:snapToGrid w:val="0"/>
        <w:spacing w:line="580" w:lineRule="exact"/>
        <w:ind w:left="420" w:left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（四）一般公共预算基本支出决算情况说明</w:t>
      </w:r>
    </w:p>
    <w:p>
      <w:pPr>
        <w:adjustRightInd w:val="0"/>
        <w:snapToGrid w:val="0"/>
        <w:spacing w:line="580" w:lineRule="exact"/>
        <w:ind w:firstLine="640" w:firstLineChars="200"/>
        <w:rPr>
          <w:rFonts w:ascii="楷体_GB2312" w:hAnsi="Times New Roman" w:eastAsia="楷体_GB2312" w:cs="DengXian-Bold"/>
          <w:b/>
          <w:bCs/>
          <w:sz w:val="32"/>
          <w:szCs w:val="32"/>
        </w:rPr>
      </w:pPr>
      <w:r>
        <w:rPr>
          <w:rFonts w:ascii="仿宋_GB2312" w:hAnsi="Times New Roman" w:eastAsia="仿宋_GB2312" w:cs="DengXian-Regular"/>
          <w:sz w:val="32"/>
          <w:szCs w:val="32"/>
        </w:rPr>
        <w:t xml:space="preserve">2019 年度财政拨款基本支出878.44万元，其中：人员经费 </w:t>
      </w:r>
      <w:r>
        <w:rPr>
          <w:rFonts w:hint="eastAsia" w:ascii="仿宋_GB2312" w:hAnsi="Times New Roman" w:eastAsia="仿宋_GB2312" w:cs="DengXian-Regular"/>
          <w:sz w:val="32"/>
          <w:szCs w:val="32"/>
          <w:lang w:val="en-US" w:eastAsia="zh-CN"/>
        </w:rPr>
        <w:t>794.96</w:t>
      </w:r>
      <w:r>
        <w:rPr>
          <w:rFonts w:ascii="仿宋_GB2312" w:hAnsi="Times New Roman" w:eastAsia="仿宋_GB2312" w:cs="DengXian-Regular"/>
          <w:sz w:val="32"/>
          <w:szCs w:val="32"/>
        </w:rPr>
        <w:t>万元，主要包括基本工资、津贴补贴、奖金、绩效工资、机关事业单位基本养老保险缴费、职业年金缴费、职工基本医疗保险缴费、住房公积金、其他社会保障缴费、其他工资福利支出、退休费、抚恤金、生活补助、其他对个人和家庭的补助支出；公用经费 83.48万元，主要包括办公费、电费、邮电费、取暖费、物业管理费、</w:t>
      </w:r>
      <w:r>
        <w:rPr>
          <w:rFonts w:hint="eastAsia" w:ascii="仿宋_GB2312" w:hAnsi="Times New Roman" w:eastAsia="仿宋_GB2312" w:cs="DengXian-Regular"/>
          <w:sz w:val="32"/>
          <w:szCs w:val="32"/>
        </w:rPr>
        <w:t>公务接待费、劳务费、工会经费、福利费、公务用车运行维护费、其他交通费用。</w:t>
      </w:r>
    </w:p>
    <w:p>
      <w:pPr>
        <w:keepNext/>
        <w:keepLines/>
        <w:snapToGrid w:val="0"/>
        <w:spacing w:line="580" w:lineRule="exact"/>
        <w:ind w:firstLine="640" w:firstLineChars="200"/>
        <w:outlineLvl w:val="1"/>
        <w:rPr>
          <w:rFonts w:ascii="黑体" w:hAnsi="Calibri" w:eastAsia="黑体"/>
          <w:sz w:val="32"/>
          <w:szCs w:val="32"/>
        </w:rPr>
      </w:pPr>
      <w:r>
        <w:rPr>
          <w:rFonts w:hint="eastAsia" w:ascii="黑体" w:hAnsi="Calibri" w:eastAsia="黑体"/>
          <w:sz w:val="32"/>
          <w:szCs w:val="32"/>
        </w:rPr>
        <w:t>五、一般公共预算“三公”</w:t>
      </w:r>
      <w:r>
        <w:rPr>
          <w:rFonts w:ascii="黑体" w:hAnsi="Calibri" w:eastAsia="黑体"/>
          <w:sz w:val="32"/>
          <w:szCs w:val="32"/>
        </w:rPr>
        <w:t xml:space="preserve"> </w:t>
      </w:r>
      <w:r>
        <w:rPr>
          <w:rFonts w:hint="eastAsia" w:ascii="黑体" w:hAnsi="Calibri" w:eastAsia="黑体"/>
          <w:sz w:val="32"/>
          <w:szCs w:val="32"/>
        </w:rPr>
        <w:t>经费支出决算情况说明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2019年度“三公”经费支出共计13.27万元，完成预算的94.79%,较预算减少0.73万元，降低5.21%，主要是严格执行八项规定，压缩支出；较2018年度减少13.7</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万元，降低50.8</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 xml:space="preserve">%，主要是2019年我单位无公车购置项目，另外公务接待费用比上年有所减少。具体情况如下： </w:t>
      </w:r>
    </w:p>
    <w:p>
      <w:pPr>
        <w:adjustRightInd w:val="0"/>
        <w:snapToGrid w:val="0"/>
        <w:spacing w:line="580" w:lineRule="exact"/>
        <w:ind w:firstLine="643" w:firstLineChars="200"/>
        <w:rPr>
          <w:rFonts w:ascii="仿宋" w:hAnsi="仿宋" w:eastAsia="仿宋" w:cs="DengXian-Regular"/>
          <w:sz w:val="32"/>
          <w:szCs w:val="32"/>
        </w:rPr>
      </w:pPr>
      <w:r>
        <w:rPr>
          <w:rFonts w:hint="eastAsia" w:ascii="楷体_GB2312" w:hAnsi="Times New Roman" w:eastAsia="楷体_GB2312" w:cs="DengXian-Bold"/>
          <w:b/>
          <w:bCs/>
          <w:sz w:val="32"/>
          <w:szCs w:val="32"/>
        </w:rPr>
        <w:t>（一）因公出国（境）费0万元：</w:t>
      </w:r>
      <w:r>
        <w:rPr>
          <w:rFonts w:ascii="仿宋" w:hAnsi="仿宋" w:eastAsia="仿宋" w:cs="DengXian-Regular"/>
          <w:sz w:val="32"/>
          <w:szCs w:val="32"/>
        </w:rPr>
        <w:t xml:space="preserve"> </w:t>
      </w:r>
    </w:p>
    <w:p>
      <w:pPr>
        <w:adjustRightInd w:val="0"/>
        <w:snapToGrid w:val="0"/>
        <w:spacing w:line="580" w:lineRule="exact"/>
        <w:ind w:firstLine="640" w:firstLineChars="200"/>
        <w:rPr>
          <w:rFonts w:ascii="仿宋" w:hAnsi="仿宋" w:eastAsia="仿宋" w:cs="DengXian-Regular"/>
          <w:sz w:val="32"/>
          <w:szCs w:val="32"/>
        </w:rPr>
      </w:pPr>
      <w:r>
        <w:rPr>
          <w:rFonts w:hint="eastAsia" w:ascii="仿宋" w:hAnsi="仿宋" w:eastAsia="仿宋" w:cs="DengXian-Regular"/>
          <w:sz w:val="32"/>
          <w:szCs w:val="32"/>
        </w:rPr>
        <w:t>本部门</w:t>
      </w:r>
      <w:r>
        <w:rPr>
          <w:rFonts w:ascii="仿宋" w:hAnsi="仿宋" w:eastAsia="仿宋" w:cs="DengXian-Regular"/>
          <w:sz w:val="32"/>
          <w:szCs w:val="32"/>
        </w:rPr>
        <w:t>2019</w:t>
      </w:r>
      <w:r>
        <w:rPr>
          <w:rFonts w:hint="eastAsia" w:ascii="仿宋" w:hAnsi="仿宋" w:eastAsia="仿宋" w:cs="DengXian-Regular"/>
          <w:sz w:val="32"/>
          <w:szCs w:val="32"/>
        </w:rPr>
        <w:t>年度因公出国（境）团组0个、共0人</w:t>
      </w:r>
      <w:r>
        <w:rPr>
          <w:rFonts w:ascii="仿宋" w:hAnsi="仿宋" w:eastAsia="仿宋" w:cs="DengXian-Regular"/>
          <w:sz w:val="32"/>
          <w:szCs w:val="32"/>
        </w:rPr>
        <w:t>/</w:t>
      </w:r>
      <w:r>
        <w:rPr>
          <w:rFonts w:hint="eastAsia" w:ascii="仿宋" w:hAnsi="仿宋" w:eastAsia="仿宋" w:cs="DengXian-Regular"/>
          <w:sz w:val="32"/>
          <w:szCs w:val="32"/>
        </w:rPr>
        <w:t>参加其他单位组织的因公出国（境）团组0个、共0人</w:t>
      </w:r>
      <w:r>
        <w:rPr>
          <w:rFonts w:ascii="仿宋" w:hAnsi="仿宋" w:eastAsia="仿宋" w:cs="DengXian-Regular"/>
          <w:sz w:val="32"/>
          <w:szCs w:val="32"/>
        </w:rPr>
        <w:t>/</w:t>
      </w:r>
      <w:r>
        <w:rPr>
          <w:rFonts w:hint="eastAsia" w:ascii="仿宋" w:hAnsi="仿宋" w:eastAsia="仿宋" w:cs="DengXian-Regular"/>
          <w:sz w:val="32"/>
          <w:szCs w:val="32"/>
        </w:rPr>
        <w:t>无本单位组织的出国（境）团组。</w:t>
      </w:r>
      <w:r>
        <w:rPr>
          <w:rFonts w:hint="eastAsia" w:ascii="仿宋" w:hAnsi="仿宋" w:eastAsia="仿宋" w:cs="DengXian-Regular"/>
          <w:sz w:val="32"/>
          <w:szCs w:val="32"/>
          <w:lang w:eastAsia="zh-CN"/>
        </w:rPr>
        <w:t>本年度</w:t>
      </w:r>
      <w:r>
        <w:rPr>
          <w:rFonts w:hint="eastAsia" w:ascii="仿宋_GB2312" w:hAnsi="Times New Roman" w:eastAsia="仿宋_GB2312" w:cs="DengXian-Regular"/>
          <w:color w:val="000000"/>
          <w:sz w:val="32"/>
          <w:szCs w:val="32"/>
          <w:highlight w:val="none"/>
        </w:rPr>
        <w:t>未发生此类支出</w:t>
      </w:r>
      <w:r>
        <w:rPr>
          <w:rFonts w:hint="eastAsia" w:ascii="仿宋_GB2312" w:hAnsi="Times New Roman" w:eastAsia="仿宋_GB2312" w:cs="DengXian-Regular"/>
          <w:color w:val="000000"/>
          <w:sz w:val="32"/>
          <w:szCs w:val="32"/>
          <w:highlight w:val="none"/>
          <w:lang w:eastAsia="zh-CN"/>
        </w:rPr>
        <w:t>，</w:t>
      </w:r>
      <w:r>
        <w:rPr>
          <w:rFonts w:hint="eastAsia" w:ascii="仿宋" w:hAnsi="仿宋" w:eastAsia="仿宋" w:cs="DengXian-Regular"/>
          <w:color w:val="000000"/>
          <w:sz w:val="32"/>
          <w:szCs w:val="32"/>
        </w:rPr>
        <w:t>与年初预算持平，与</w:t>
      </w:r>
      <w:r>
        <w:rPr>
          <w:rFonts w:ascii="仿宋" w:hAnsi="仿宋" w:eastAsia="仿宋" w:cs="DengXian-Regular"/>
          <w:color w:val="000000"/>
          <w:sz w:val="32"/>
          <w:szCs w:val="32"/>
        </w:rPr>
        <w:t>2018</w:t>
      </w:r>
      <w:r>
        <w:rPr>
          <w:rFonts w:hint="eastAsia" w:ascii="仿宋" w:hAnsi="仿宋" w:eastAsia="仿宋" w:cs="DengXian-Regular"/>
          <w:color w:val="000000"/>
          <w:sz w:val="32"/>
          <w:szCs w:val="32"/>
        </w:rPr>
        <w:t>年度决算支出持平。</w:t>
      </w:r>
    </w:p>
    <w:p>
      <w:pPr>
        <w:adjustRightInd w:val="0"/>
        <w:snapToGrid w:val="0"/>
        <w:spacing w:line="580" w:lineRule="exact"/>
        <w:ind w:firstLine="643" w:firstLineChars="200"/>
        <w:rPr>
          <w:rFonts w:hint="eastAsia" w:ascii="仿宋" w:hAnsi="仿宋" w:eastAsia="仿宋" w:cs="DengXian-Bold"/>
          <w:bCs/>
          <w:sz w:val="32"/>
          <w:szCs w:val="32"/>
        </w:rPr>
      </w:pPr>
      <w:r>
        <w:rPr>
          <w:rFonts w:hint="eastAsia" w:ascii="楷体_GB2312" w:hAnsi="Times New Roman" w:eastAsia="楷体_GB2312" w:cs="DengXian-Bold"/>
          <w:b/>
          <w:bCs/>
          <w:sz w:val="32"/>
          <w:szCs w:val="32"/>
        </w:rPr>
        <w:t>（二）公务用车购置及运行维护费</w:t>
      </w:r>
      <w:r>
        <w:rPr>
          <w:rFonts w:ascii="楷体_GB2312" w:hAnsi="Times New Roman" w:eastAsia="楷体_GB2312" w:cs="DengXian-Bold"/>
          <w:b/>
          <w:bCs/>
          <w:sz w:val="32"/>
          <w:szCs w:val="32"/>
        </w:rPr>
        <w:t>10.91万元</w:t>
      </w:r>
      <w:r>
        <w:rPr>
          <w:rFonts w:hint="eastAsia" w:ascii="楷体_GB2312" w:hAnsi="Times New Roman" w:eastAsia="楷体_GB2312" w:cs="DengXian-Bold"/>
          <w:b/>
          <w:bCs/>
          <w:sz w:val="32"/>
          <w:szCs w:val="32"/>
        </w:rPr>
        <w:t>：</w:t>
      </w:r>
    </w:p>
    <w:p>
      <w:pPr>
        <w:adjustRightInd w:val="0"/>
        <w:snapToGrid w:val="0"/>
        <w:spacing w:line="580" w:lineRule="exact"/>
        <w:ind w:firstLine="640" w:firstLineChars="200"/>
        <w:rPr>
          <w:rFonts w:ascii="仿宋_GB2312" w:hAnsi="Times New Roman" w:eastAsia="仿宋_GB2312" w:cs="DengXian-Bold"/>
          <w:b/>
          <w:bCs/>
          <w:sz w:val="32"/>
          <w:szCs w:val="32"/>
        </w:rPr>
      </w:pPr>
      <w:r>
        <w:rPr>
          <w:rFonts w:hint="eastAsia" w:ascii="仿宋_GB2312" w:hAnsi="Times New Roman" w:eastAsia="仿宋_GB2312" w:cs="DengXian-Regular"/>
          <w:sz w:val="32"/>
          <w:szCs w:val="32"/>
        </w:rPr>
        <w:t>本部门2019年度公务用车购置及运行维护费较年初预算减少0.09万元，降低0.82%,主要是节约支出；较上年减少13.05万元，降低54.46%,主要是</w:t>
      </w:r>
      <w:r>
        <w:rPr>
          <w:rFonts w:hint="eastAsia" w:ascii="仿宋_GB2312" w:hAnsi="Times New Roman" w:eastAsia="仿宋_GB2312" w:cs="DengXian-Regular"/>
          <w:sz w:val="32"/>
          <w:szCs w:val="32"/>
          <w:lang w:val="en-US" w:eastAsia="zh-CN"/>
        </w:rPr>
        <w:t>2018年购置公车一辆，</w:t>
      </w:r>
      <w:r>
        <w:rPr>
          <w:rFonts w:hint="eastAsia" w:ascii="仿宋_GB2312" w:hAnsi="仿宋" w:eastAsia="仿宋_GB2312"/>
          <w:sz w:val="32"/>
          <w:szCs w:val="32"/>
        </w:rPr>
        <w:t>2019年我单位无公车购置项目</w:t>
      </w:r>
      <w:r>
        <w:rPr>
          <w:rFonts w:hint="eastAsia" w:ascii="仿宋_GB2312" w:hAnsi="Times New Roman" w:eastAsia="仿宋_GB2312" w:cs="DengXian-Regular"/>
          <w:sz w:val="32"/>
          <w:szCs w:val="32"/>
        </w:rPr>
        <w:t>。</w:t>
      </w:r>
      <w:r>
        <w:rPr>
          <w:rFonts w:hint="eastAsia" w:ascii="仿宋" w:hAnsi="仿宋" w:eastAsia="仿宋" w:cs="DengXian-Bold"/>
          <w:bCs/>
          <w:sz w:val="32"/>
          <w:szCs w:val="32"/>
        </w:rPr>
        <w:t>其中：</w:t>
      </w:r>
    </w:p>
    <w:p>
      <w:pPr>
        <w:adjustRightInd w:val="0"/>
        <w:snapToGrid w:val="0"/>
        <w:spacing w:line="580" w:lineRule="exact"/>
        <w:ind w:firstLine="643" w:firstLineChars="200"/>
        <w:rPr>
          <w:rFonts w:ascii="仿宋_GB2312" w:hAnsi="Times New Roman" w:eastAsia="仿宋_GB2312" w:cs="DengXian-Regular"/>
          <w:sz w:val="32"/>
          <w:szCs w:val="32"/>
        </w:rPr>
      </w:pPr>
      <w:r>
        <w:rPr>
          <w:rFonts w:hint="eastAsia" w:ascii="仿宋_GB2312" w:hAnsi="Times New Roman" w:eastAsia="仿宋_GB2312" w:cs="DengXian-Regular"/>
          <w:b/>
          <w:sz w:val="32"/>
          <w:szCs w:val="32"/>
        </w:rPr>
        <w:t>公务用车购置费0万元</w:t>
      </w: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w:t>
      </w:r>
      <w:r>
        <w:rPr>
          <w:rFonts w:hint="eastAsia" w:ascii="仿宋_GB2312" w:hAnsi="Times New Roman" w:eastAsia="仿宋_GB2312" w:cs="DengXian-Regular"/>
          <w:sz w:val="32"/>
          <w:szCs w:val="32"/>
        </w:rPr>
        <w:t>年度公务用车购置量</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辆，发生“公务用车购置”经费支出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w:t>
      </w:r>
      <w:r>
        <w:rPr>
          <w:rFonts w:hint="eastAsia" w:ascii="仿宋_GB2312" w:hAnsi="Times New Roman" w:eastAsia="仿宋_GB2312" w:cs="DengXian-Regular"/>
          <w:color w:val="000000"/>
          <w:sz w:val="32"/>
          <w:szCs w:val="32"/>
        </w:rPr>
        <w:t>与年初预算持平，</w:t>
      </w:r>
      <w:r>
        <w:rPr>
          <w:rFonts w:hint="eastAsia" w:ascii="仿宋_GB2312" w:hAnsi="Times New Roman" w:eastAsia="仿宋_GB2312" w:cs="DengXian-Regular"/>
          <w:sz w:val="32"/>
          <w:szCs w:val="32"/>
        </w:rPr>
        <w:t>较上年减少13.92万元，降低100</w:t>
      </w:r>
      <w:r>
        <w:rPr>
          <w:rFonts w:ascii="仿宋_GB2312" w:hAnsi="Times New Roman" w:eastAsia="仿宋_GB2312" w:cs="DengXian-Regular"/>
          <w:sz w:val="32"/>
          <w:szCs w:val="32"/>
        </w:rPr>
        <w:t>%,</w:t>
      </w:r>
      <w:r>
        <w:rPr>
          <w:rFonts w:hint="eastAsia" w:ascii="仿宋_GB2312" w:hAnsi="Times New Roman" w:eastAsia="仿宋_GB2312" w:cs="DengXian-Regular"/>
          <w:sz w:val="32"/>
          <w:szCs w:val="32"/>
        </w:rPr>
        <w:t>主要是</w:t>
      </w:r>
      <w:r>
        <w:rPr>
          <w:rFonts w:hint="eastAsia" w:ascii="仿宋_GB2312" w:hAnsi="Times New Roman" w:eastAsia="仿宋_GB2312" w:cs="DengXian-Regular"/>
          <w:sz w:val="32"/>
          <w:szCs w:val="32"/>
          <w:lang w:val="en-US" w:eastAsia="zh-CN"/>
        </w:rPr>
        <w:t>2018年购置公车一辆，</w:t>
      </w:r>
      <w:r>
        <w:rPr>
          <w:rFonts w:hint="eastAsia" w:ascii="仿宋_GB2312" w:hAnsi="Times New Roman" w:eastAsia="仿宋_GB2312" w:cs="DengXian-Regular"/>
          <w:sz w:val="32"/>
          <w:szCs w:val="32"/>
        </w:rPr>
        <w:t>本年</w:t>
      </w:r>
      <w:r>
        <w:rPr>
          <w:rFonts w:ascii="仿宋_GB2312" w:hAnsi="Times New Roman" w:eastAsia="仿宋_GB2312" w:cs="DengXian-Regular"/>
          <w:sz w:val="32"/>
          <w:szCs w:val="32"/>
        </w:rPr>
        <w:t>我单位无公车购置费用支出</w:t>
      </w:r>
      <w:r>
        <w:rPr>
          <w:rFonts w:hint="eastAsia" w:ascii="仿宋_GB2312" w:hAnsi="Times New Roman" w:eastAsia="仿宋_GB2312" w:cs="DengXian-Regular"/>
          <w:sz w:val="32"/>
          <w:szCs w:val="32"/>
        </w:rPr>
        <w:t>。</w:t>
      </w:r>
    </w:p>
    <w:p>
      <w:pPr>
        <w:adjustRightInd w:val="0"/>
        <w:snapToGrid w:val="0"/>
        <w:spacing w:line="580" w:lineRule="exact"/>
        <w:ind w:firstLine="643" w:firstLineChars="200"/>
        <w:rPr>
          <w:rFonts w:ascii="仿宋_GB2312" w:hAnsi="Times New Roman" w:eastAsia="仿宋_GB2312" w:cs="DengXian-Bold"/>
          <w:b/>
          <w:bCs/>
          <w:sz w:val="32"/>
          <w:szCs w:val="32"/>
        </w:rPr>
      </w:pPr>
      <w:r>
        <w:rPr>
          <w:rFonts w:hint="eastAsia" w:ascii="仿宋_GB2312" w:hAnsi="Times New Roman" w:eastAsia="仿宋_GB2312" w:cs="DengXian-Regular"/>
          <w:b/>
          <w:sz w:val="32"/>
          <w:szCs w:val="32"/>
        </w:rPr>
        <w:t>公务用车运行维护费10.91万元</w:t>
      </w:r>
      <w:r>
        <w:rPr>
          <w:rFonts w:hint="eastAsia" w:ascii="仿宋_GB2312" w:hAnsi="Times New Roman" w:eastAsia="仿宋_GB2312" w:cs="DengXian-Regular"/>
          <w:sz w:val="32"/>
          <w:szCs w:val="32"/>
        </w:rPr>
        <w:t>：本部门2019年度单位公务用车保有量2辆。公车运行维护费支出较年初预算减少0.09万元，降低0.82%,主要是</w:t>
      </w:r>
      <w:r>
        <w:rPr>
          <w:rFonts w:hint="eastAsia" w:ascii="仿宋_GB2312" w:hAnsi="Times New Roman" w:eastAsia="仿宋_GB2312" w:cs="DengXian-Regular"/>
          <w:sz w:val="32"/>
          <w:szCs w:val="32"/>
          <w:lang w:eastAsia="zh-CN"/>
        </w:rPr>
        <w:t>厉行节约，</w:t>
      </w:r>
      <w:r>
        <w:rPr>
          <w:rFonts w:hint="eastAsia" w:ascii="仿宋_GB2312" w:hAnsi="Times New Roman" w:eastAsia="仿宋_GB2312" w:cs="DengXian-Regular"/>
          <w:sz w:val="32"/>
          <w:szCs w:val="32"/>
        </w:rPr>
        <w:t>节约支出；较上年增加0.86万元，增长8.55%，主要公车运行费增长。</w:t>
      </w:r>
    </w:p>
    <w:p>
      <w:pPr>
        <w:adjustRightInd w:val="0"/>
        <w:snapToGrid w:val="0"/>
        <w:spacing w:line="580" w:lineRule="exact"/>
        <w:ind w:firstLine="643" w:firstLineChars="200"/>
        <w:rPr>
          <w:rFonts w:ascii="仿宋_GB2312" w:hAnsi="Times New Roman" w:eastAsia="仿宋_GB2312" w:cs="DengXian-Regular"/>
          <w:sz w:val="32"/>
          <w:szCs w:val="32"/>
        </w:rPr>
      </w:pPr>
      <w:r>
        <w:rPr>
          <w:rFonts w:hint="eastAsia" w:ascii="楷体_GB2312" w:hAnsi="Times New Roman" w:eastAsia="楷体_GB2312" w:cs="DengXian-Bold"/>
          <w:b/>
          <w:bCs/>
          <w:sz w:val="32"/>
          <w:szCs w:val="32"/>
        </w:rPr>
        <w:t>（三）公务接待费2.36万元：</w:t>
      </w:r>
      <w:r>
        <w:rPr>
          <w:rFonts w:hint="eastAsia" w:ascii="仿宋_GB2312" w:hAnsi="Times New Roman" w:eastAsia="仿宋_GB2312" w:cs="DengXian-Regular"/>
          <w:sz w:val="32"/>
          <w:szCs w:val="32"/>
        </w:rPr>
        <w:t>本部门2019年度公务接待共20批次、470人次。公务接待费支出较预算减少0.64万元，降低21.33%,主要是</w:t>
      </w:r>
      <w:r>
        <w:rPr>
          <w:rFonts w:hint="eastAsia" w:ascii="仿宋_GB2312" w:hAnsi="Times New Roman" w:eastAsia="仿宋_GB2312" w:cs="DengXian-Regular"/>
          <w:sz w:val="32"/>
          <w:szCs w:val="32"/>
          <w:lang w:eastAsia="zh-CN"/>
        </w:rPr>
        <w:t>厉行节约，</w:t>
      </w:r>
      <w:r>
        <w:rPr>
          <w:rFonts w:hint="eastAsia" w:ascii="仿宋_GB2312" w:hAnsi="Times New Roman" w:eastAsia="仿宋_GB2312" w:cs="DengXian-Regular"/>
          <w:sz w:val="32"/>
          <w:szCs w:val="32"/>
        </w:rPr>
        <w:t>压缩支出；较上年度减少0.64万元，降低21.33%,主要是压缩支出，厉行节约。</w:t>
      </w:r>
    </w:p>
    <w:p>
      <w:pPr>
        <w:adjustRightInd w:val="0"/>
        <w:snapToGrid w:val="0"/>
        <w:spacing w:line="580" w:lineRule="exact"/>
        <w:ind w:firstLine="640" w:firstLineChars="200"/>
        <w:rPr>
          <w:rFonts w:ascii="黑体" w:hAnsi="Times New Roman" w:eastAsia="黑体"/>
          <w:sz w:val="32"/>
          <w:szCs w:val="40"/>
        </w:rPr>
      </w:pPr>
      <w:r>
        <w:rPr>
          <w:rFonts w:hint="eastAsia" w:ascii="黑体" w:hAnsi="Times New Roman" w:eastAsia="黑体"/>
          <w:sz w:val="32"/>
          <w:szCs w:val="40"/>
        </w:rPr>
        <w:t>六、预算绩效情况说明</w:t>
      </w:r>
    </w:p>
    <w:p>
      <w:pPr>
        <w:adjustRightInd w:val="0"/>
        <w:snapToGrid w:val="0"/>
        <w:spacing w:line="58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（一）</w:t>
      </w:r>
      <w:r>
        <w:rPr>
          <w:rFonts w:ascii="仿宋_GB2312" w:hAnsi="仿宋_GB2312" w:eastAsia="仿宋_GB2312" w:cs="仿宋_GB2312"/>
          <w:b/>
          <w:bCs/>
          <w:sz w:val="32"/>
          <w:szCs w:val="32"/>
        </w:rPr>
        <w:t xml:space="preserve"> </w:t>
      </w:r>
      <w:r>
        <w:rPr>
          <w:rFonts w:hint="eastAsia" w:ascii="仿宋_GB2312" w:hAnsi="仿宋_GB2312" w:eastAsia="仿宋_GB2312" w:cs="仿宋_GB2312"/>
          <w:b/>
          <w:bCs/>
          <w:sz w:val="32"/>
          <w:szCs w:val="32"/>
        </w:rPr>
        <w:t>预算绩效管理工作开展情况。</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根据预算绩效管理要求，本部门组织对</w:t>
      </w:r>
      <w:r>
        <w:rPr>
          <w:rFonts w:ascii="仿宋_GB2312" w:hAnsi="仿宋_GB2312" w:eastAsia="仿宋_GB2312" w:cs="仿宋_GB2312"/>
          <w:sz w:val="32"/>
          <w:szCs w:val="32"/>
        </w:rPr>
        <w:t>2019年度一般公共预算项目支出全面开展绩效自评，其中，二级项目19个，共涉及资金1862.14万元，占一般公共预算项目支出总额的100%。组织对2019年“度偿还政府专项债券利息”政府性基金预算项目支出开展绩效自评，共涉及资金194.16万元，占政府性基金预算项目支出总额的100%。</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从评价情况来看，我单位基本完成了年初制定的财政项目计划，县本级预算执行项目得到了人大常委会的一致好评，并紧紧围绕年初确定工作目标，保障重点支出，深化财政改革，强化财政监督，确保了财政预算的平稳运行，为全县经济发展提供了有力保障。</w:t>
      </w:r>
    </w:p>
    <w:p>
      <w:pPr>
        <w:adjustRightInd w:val="0"/>
        <w:snapToGrid w:val="0"/>
        <w:spacing w:line="580" w:lineRule="exact"/>
        <w:ind w:left="420" w:leftChars="200" w:firstLine="321" w:firstLineChars="1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（二）部门决算中项目绩效自评结果。</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本部门在今年部门决算公开中反映一般公共预算项目及政府性基金项目等</w:t>
      </w:r>
      <w:r>
        <w:rPr>
          <w:rFonts w:ascii="仿宋_GB2312" w:hAnsi="仿宋_GB2312" w:eastAsia="仿宋_GB2312" w:cs="仿宋_GB2312"/>
          <w:bCs/>
          <w:sz w:val="32"/>
          <w:szCs w:val="32"/>
        </w:rPr>
        <w:t>9个项目绩效自评结果。</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1、2019年农村综合改革项目</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2019年农村公益设施建设一事一议项目67个，涉及道路硬化、照明、农村安全饮水等多方面，为农村人居环境打下了坚实基础。扶持壮大村级集体经济项目8个，集体经济收入明显增加。一事一议项目及扶持村集体项目的开展项目实施，项目村情况明显改善，集体经济收入明显增加；项目村基层党组织凝聚力有所增强；农村人居环境有效改善。</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2、高标准农田建设项目</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高标准农田建设面积计划完成高标准农田建设面</w:t>
      </w:r>
      <w:r>
        <w:rPr>
          <w:rFonts w:ascii="仿宋_GB2312" w:hAnsi="仿宋_GB2312" w:eastAsia="仿宋_GB2312" w:cs="仿宋_GB2312"/>
          <w:bCs/>
          <w:sz w:val="32"/>
          <w:szCs w:val="32"/>
        </w:rPr>
        <w:t>5400亩。实际完成面积5400亩。新增田间道路水泥路23212.5</w:t>
      </w:r>
      <w:r>
        <w:rPr>
          <w:rFonts w:hint="eastAsia" w:ascii="仿宋_GB2312" w:hAnsi="仿宋_GB2312" w:eastAsia="仿宋_GB2312" w:cs="仿宋_GB2312"/>
          <w:bCs/>
          <w:sz w:val="32"/>
          <w:szCs w:val="32"/>
        </w:rPr>
        <w:t>0</w:t>
      </w:r>
      <w:r>
        <w:rPr>
          <w:rFonts w:ascii="仿宋_GB2312" w:hAnsi="仿宋_GB2312" w:eastAsia="仿宋_GB2312" w:cs="仿宋_GB2312"/>
          <w:bCs/>
          <w:sz w:val="32"/>
          <w:szCs w:val="32"/>
        </w:rPr>
        <w:t xml:space="preserve">平方米.实际完成水泥路23501.5 </w:t>
      </w:r>
      <w:r>
        <w:rPr>
          <w:rFonts w:hint="eastAsia" w:ascii="仿宋_GB2312" w:hAnsi="仿宋_GB2312" w:eastAsia="仿宋_GB2312" w:cs="仿宋_GB2312"/>
          <w:bCs/>
          <w:sz w:val="32"/>
          <w:szCs w:val="32"/>
        </w:rPr>
        <w:t>0</w:t>
      </w:r>
      <w:r>
        <w:rPr>
          <w:rFonts w:ascii="仿宋_GB2312" w:hAnsi="仿宋_GB2312" w:eastAsia="仿宋_GB2312" w:cs="仿宋_GB2312"/>
          <w:bCs/>
          <w:sz w:val="32"/>
          <w:szCs w:val="32"/>
        </w:rPr>
        <w:t>平方米。</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w:t>
      </w:r>
      <w:r>
        <w:rPr>
          <w:rFonts w:ascii="仿宋_GB2312" w:hAnsi="仿宋_GB2312" w:eastAsia="仿宋_GB2312" w:cs="仿宋_GB2312"/>
          <w:bCs/>
          <w:sz w:val="32"/>
          <w:szCs w:val="32"/>
        </w:rPr>
        <w:t>1）经济效益。本项目实施后改善项目区的灌溉条件和生态环境，带来明显的增产增收效益。可增加粮食生产能力104.76万kg，其中小麦增产5.4</w:t>
      </w:r>
      <w:r>
        <w:rPr>
          <w:rFonts w:hint="eastAsia" w:ascii="仿宋_GB2312" w:hAnsi="仿宋_GB2312" w:eastAsia="仿宋_GB2312" w:cs="仿宋_GB2312"/>
          <w:bCs/>
          <w:sz w:val="32"/>
          <w:szCs w:val="32"/>
        </w:rPr>
        <w:t>0</w:t>
      </w:r>
      <w:r>
        <w:rPr>
          <w:rFonts w:ascii="仿宋_GB2312" w:hAnsi="仿宋_GB2312" w:eastAsia="仿宋_GB2312" w:cs="仿宋_GB2312"/>
          <w:bCs/>
          <w:sz w:val="32"/>
          <w:szCs w:val="32"/>
        </w:rPr>
        <w:t>万kg，玉米增产88.56万kg，其他作物增产10.8</w:t>
      </w:r>
      <w:r>
        <w:rPr>
          <w:rFonts w:hint="eastAsia" w:ascii="仿宋_GB2312" w:hAnsi="仿宋_GB2312" w:eastAsia="仿宋_GB2312" w:cs="仿宋_GB2312"/>
          <w:bCs/>
          <w:sz w:val="32"/>
          <w:szCs w:val="32"/>
        </w:rPr>
        <w:t>0</w:t>
      </w:r>
      <w:r>
        <w:rPr>
          <w:rFonts w:ascii="仿宋_GB2312" w:hAnsi="仿宋_GB2312" w:eastAsia="仿宋_GB2312" w:cs="仿宋_GB2312"/>
          <w:bCs/>
          <w:sz w:val="32"/>
          <w:szCs w:val="32"/>
        </w:rPr>
        <w:t>万kg，增加农业总产值187.59万元，增加农业净产值178.3</w:t>
      </w:r>
      <w:r>
        <w:rPr>
          <w:rFonts w:hint="eastAsia" w:ascii="仿宋_GB2312" w:hAnsi="仿宋_GB2312" w:eastAsia="仿宋_GB2312" w:cs="仿宋_GB2312"/>
          <w:bCs/>
          <w:sz w:val="32"/>
          <w:szCs w:val="32"/>
        </w:rPr>
        <w:t>0</w:t>
      </w:r>
      <w:r>
        <w:rPr>
          <w:rFonts w:ascii="仿宋_GB2312" w:hAnsi="仿宋_GB2312" w:eastAsia="仿宋_GB2312" w:cs="仿宋_GB2312"/>
          <w:bCs/>
          <w:sz w:val="32"/>
          <w:szCs w:val="32"/>
        </w:rPr>
        <w:t>万元，人均增收688</w:t>
      </w:r>
      <w:r>
        <w:rPr>
          <w:rFonts w:hint="eastAsia" w:ascii="仿宋_GB2312" w:hAnsi="仿宋_GB2312" w:eastAsia="仿宋_GB2312" w:cs="仿宋_GB2312"/>
          <w:bCs/>
          <w:sz w:val="32"/>
          <w:szCs w:val="32"/>
        </w:rPr>
        <w:t>.00</w:t>
      </w:r>
      <w:r>
        <w:rPr>
          <w:rFonts w:ascii="仿宋_GB2312" w:hAnsi="仿宋_GB2312" w:eastAsia="仿宋_GB2312" w:cs="仿宋_GB2312"/>
          <w:bCs/>
          <w:sz w:val="32"/>
          <w:szCs w:val="32"/>
        </w:rPr>
        <w:t>元。</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w:t>
      </w:r>
      <w:r>
        <w:rPr>
          <w:rFonts w:ascii="仿宋_GB2312" w:hAnsi="仿宋_GB2312" w:eastAsia="仿宋_GB2312" w:cs="仿宋_GB2312"/>
          <w:bCs/>
          <w:sz w:val="32"/>
          <w:szCs w:val="32"/>
        </w:rPr>
        <w:t>2）社会效益。项目建成后，通过对项目区农田水利设施、农村道路、农田标网的全面建设治理，形成了田地平整肥沃，水利设施配套，田间道路通畅，林网建设适宜，科技先进适用，优质高产高效的高标准农田。通过高标准农田建设，一是实现小麦、玉米的高产稳产，增加农民收入。二是随着农产品价格的提升，增强农民种田的积极性，增加农民收入，并保持农业可持续发展的良性循环，增加产业产区产量的稳步增长，实现农业生产的稳定发展，实现农村生活水平的改善。三是通过项目区水利、农业、林业、科技措施的配套建设，增强了项目区农作物的生产能力，实现了</w:t>
      </w:r>
      <w:r>
        <w:rPr>
          <w:rFonts w:hint="eastAsia" w:ascii="仿宋_GB2312" w:hAnsi="仿宋_GB2312" w:eastAsia="仿宋_GB2312" w:cs="仿宋_GB2312"/>
          <w:bCs/>
          <w:sz w:val="32"/>
          <w:szCs w:val="32"/>
        </w:rPr>
        <w:t>农业用水的有效供应，生产和生活交通便利，促进了农村生产设施的改善。</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w:t>
      </w:r>
      <w:r>
        <w:rPr>
          <w:rFonts w:ascii="仿宋_GB2312" w:hAnsi="仿宋_GB2312" w:eastAsia="仿宋_GB2312" w:cs="仿宋_GB2312"/>
          <w:bCs/>
          <w:sz w:val="32"/>
          <w:szCs w:val="32"/>
        </w:rPr>
        <w:t>3）生态效益。项目区治理后，农田保护功能加强，改善了田间小气候，增强了项目区抗御自然灾害能力，减少了水土流失。由于农田水利工程建设，有效的防止改善土壤盐碱化，培肥地力。由于农路的建设，改善了项目区人们的生活环境。本项目为高标准农田建设，使资源合理调配利用，通过水、田、林、路综合治理，不会产生不良水文地质环境问题和污染，具有显著的生态效益。</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3、财税大数据云平台建设项目</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财税大数据云平台建设是为深入贯彻落实减费降税政策，营造公平营商环境，全面分析我县经济发展现状，摸清税源底码，增加财政收入，促进县域经济高质量发展而构建的大数据平台。</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财税大数据云平台建设完成，达到技术标准规定的使用要求，通过验收。</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4、财政管理与改革经费</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通过使用财政管理与改革业务经费，使我局预算，国库及监督检查工作有效开展，保证预算及预算绩效管理工作正常开展，按照上级要求完成扶贫资金专项检查及绩效的监督检查工作。</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5、2019年省级农村财会人员培训一般转移支付</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为确保财政支农政策培训工作顺利开展，我县成立了主管局长挂帅，制定了明确的培训目标和要求，为提高培训工作的实用性，认真开展调研，组织人员进行座谈，了解基层所需、所盼以及几年来的培训工作中的不足，有针对性的精选培训内容，精心制作课件，分</w:t>
      </w:r>
      <w:r>
        <w:rPr>
          <w:rFonts w:ascii="仿宋_GB2312" w:hAnsi="仿宋_GB2312" w:eastAsia="仿宋_GB2312" w:cs="仿宋_GB2312"/>
          <w:bCs/>
          <w:sz w:val="32"/>
          <w:szCs w:val="32"/>
        </w:rPr>
        <w:t>5期对全县237个行政村的村干部、村会计按规定的课时完成培训。</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6、财政票据款</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通过使用财政票据款经费，保障各机关事业单位在开展工作过程中需开具票据的票据款购买的支出，最大限度地保障各事业单位的票据使用。</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7、卫十世行贷款项目</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按照冀财外【</w:t>
      </w:r>
      <w:r>
        <w:rPr>
          <w:rFonts w:ascii="仿宋_GB2312" w:hAnsi="仿宋_GB2312" w:eastAsia="仿宋_GB2312" w:cs="仿宋_GB2312"/>
          <w:bCs/>
          <w:sz w:val="32"/>
          <w:szCs w:val="32"/>
        </w:rPr>
        <w:t>2018】55号文和省厅世行贷款付款通知单的要求， 2019年我县需要偿还卫十项目贷款本息共计7645.13元。我单位严格按照付款通知单要求及时足额偿还世行贷款本息。</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8、政府债券项目</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2019年需偿还政府债券利息及付息服务费255.04万元。根据文件精神在规定时间内，按照上级要求及时、足额偿还政府债券利息及付息服务费。</w:t>
      </w:r>
    </w:p>
    <w:p>
      <w:pPr>
        <w:pStyle w:val="16"/>
        <w:numPr>
          <w:ilvl w:val="0"/>
          <w:numId w:val="2"/>
        </w:numPr>
        <w:adjustRightInd w:val="0"/>
        <w:snapToGrid w:val="0"/>
        <w:spacing w:line="580" w:lineRule="exact"/>
        <w:ind w:firstLineChars="0"/>
        <w:jc w:val="left"/>
        <w:rPr>
          <w:rFonts w:ascii="仿宋_GB2312" w:hAnsi="仿宋_GB2312" w:eastAsia="仿宋_GB2312" w:cs="仿宋_GB2312"/>
          <w:bCs/>
          <w:sz w:val="32"/>
          <w:szCs w:val="32"/>
        </w:rPr>
      </w:pPr>
      <w:r>
        <w:rPr>
          <w:rFonts w:ascii="仿宋_GB2312" w:hAnsi="仿宋_GB2312" w:eastAsia="仿宋_GB2312" w:cs="仿宋_GB2312"/>
          <w:bCs/>
          <w:sz w:val="32"/>
          <w:szCs w:val="32"/>
        </w:rPr>
        <w:t>债务专项审计项目</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ascii="仿宋_GB2312" w:hAnsi="仿宋_GB2312" w:eastAsia="仿宋_GB2312" w:cs="仿宋_GB2312"/>
          <w:bCs/>
          <w:sz w:val="32"/>
          <w:szCs w:val="32"/>
        </w:rPr>
        <w:t>2019年度债务专项审计经费共计6.2</w:t>
      </w:r>
      <w:r>
        <w:rPr>
          <w:rFonts w:hint="eastAsia" w:ascii="仿宋_GB2312" w:hAnsi="仿宋_GB2312" w:eastAsia="仿宋_GB2312" w:cs="仿宋_GB2312"/>
          <w:bCs/>
          <w:sz w:val="32"/>
          <w:szCs w:val="32"/>
        </w:rPr>
        <w:t>6</w:t>
      </w:r>
      <w:r>
        <w:rPr>
          <w:rFonts w:ascii="仿宋_GB2312" w:hAnsi="仿宋_GB2312" w:eastAsia="仿宋_GB2312" w:cs="仿宋_GB2312"/>
          <w:bCs/>
          <w:sz w:val="32"/>
          <w:szCs w:val="32"/>
        </w:rPr>
        <w:t>万元，通过使用项目经费使得此次债务专项审计工作顺利开展，各项相关工作顺利完成，保证了债务专项审计工作的圆满完成。</w:t>
      </w:r>
    </w:p>
    <w:p>
      <w:pPr>
        <w:adjustRightInd w:val="0"/>
        <w:snapToGrid w:val="0"/>
        <w:spacing w:line="580" w:lineRule="exact"/>
        <w:ind w:firstLine="640" w:firstLineChars="200"/>
        <w:jc w:val="left"/>
        <w:rPr>
          <w:rFonts w:ascii="仿宋_GB2312" w:hAnsi="仿宋_GB2312" w:eastAsia="仿宋_GB2312" w:cs="仿宋_GB2312"/>
          <w:b/>
          <w:bCs/>
          <w:sz w:val="32"/>
          <w:szCs w:val="32"/>
        </w:rPr>
      </w:pPr>
      <w:r>
        <w:rPr>
          <w:rFonts w:hint="eastAsia" w:ascii="楷体" w:hAnsi="楷体" w:eastAsia="楷体" w:cs="仿宋_GB2312"/>
          <w:bCs/>
          <w:sz w:val="32"/>
          <w:szCs w:val="32"/>
        </w:rPr>
        <w:t>（三）</w:t>
      </w:r>
      <w:r>
        <w:rPr>
          <w:rFonts w:hint="eastAsia" w:ascii="楷体" w:hAnsi="楷体" w:eastAsia="楷体" w:cs="仿宋_GB2312"/>
          <w:b/>
          <w:bCs/>
          <w:sz w:val="32"/>
          <w:szCs w:val="32"/>
        </w:rPr>
        <w:t>财政评价项目绩效评价结果</w:t>
      </w:r>
      <w:r>
        <w:rPr>
          <w:rFonts w:hint="eastAsia" w:ascii="仿宋_GB2312" w:hAnsi="仿宋_GB2312" w:eastAsia="仿宋_GB2312" w:cs="仿宋_GB2312"/>
          <w:b/>
          <w:bCs/>
          <w:sz w:val="32"/>
          <w:szCs w:val="32"/>
        </w:rPr>
        <w:t>：</w:t>
      </w:r>
    </w:p>
    <w:p>
      <w:pPr>
        <w:adjustRightInd w:val="0"/>
        <w:snapToGrid w:val="0"/>
        <w:spacing w:line="580" w:lineRule="exact"/>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sz w:val="32"/>
          <w:szCs w:val="32"/>
        </w:rPr>
        <w:t>本部门本年度无财政评价项目绩效评价结果</w:t>
      </w:r>
      <w:r>
        <w:rPr>
          <w:rFonts w:hint="eastAsia" w:ascii="仿宋_GB2312" w:hAnsi="仿宋_GB2312" w:eastAsia="仿宋_GB2312" w:cs="仿宋_GB2312"/>
          <w:b/>
          <w:bCs/>
          <w:sz w:val="32"/>
          <w:szCs w:val="32"/>
        </w:rPr>
        <w:t>。</w:t>
      </w:r>
    </w:p>
    <w:p>
      <w:pPr>
        <w:keepNext/>
        <w:keepLines/>
        <w:snapToGrid w:val="0"/>
        <w:spacing w:line="580" w:lineRule="exact"/>
        <w:ind w:firstLine="640" w:firstLineChars="200"/>
        <w:outlineLvl w:val="1"/>
        <w:rPr>
          <w:rFonts w:ascii="黑体" w:hAnsi="Calibri" w:eastAsia="黑体"/>
          <w:sz w:val="32"/>
          <w:szCs w:val="32"/>
        </w:rPr>
      </w:pPr>
      <w:r>
        <w:rPr>
          <w:rFonts w:hint="eastAsia" w:ascii="黑体" w:hAnsi="Calibri" w:eastAsia="黑体"/>
          <w:sz w:val="32"/>
          <w:szCs w:val="32"/>
        </w:rPr>
        <w:t>七、其他重要事项的说明</w:t>
      </w:r>
    </w:p>
    <w:p>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（一）机关运行经费情况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2019年度机关运行经费支出83.48万元，比2018年度增加43.29万元，增长107.75%。主要原因是2019年我单位补缴18年取暖费缴纳19年取暖费；增加公务员人员全年通信补贴，增加劳务派遣人员经费等支出。</w:t>
      </w:r>
      <w:r>
        <w:rPr>
          <w:rFonts w:hint="eastAsia" w:ascii="仿宋_GB2312" w:eastAsia="仿宋_GB2312" w:cs="DengXian-Regular"/>
          <w:sz w:val="32"/>
          <w:szCs w:val="32"/>
        </w:rPr>
        <w:t>本部门</w:t>
      </w:r>
      <w:r>
        <w:rPr>
          <w:rFonts w:ascii="仿宋_GB2312" w:eastAsia="仿宋_GB2312" w:cs="DengXian-Regular"/>
          <w:sz w:val="32"/>
          <w:szCs w:val="32"/>
        </w:rPr>
        <w:t>2019</w:t>
      </w:r>
      <w:r>
        <w:rPr>
          <w:rFonts w:hint="eastAsia" w:ascii="仿宋_GB2312" w:eastAsia="仿宋_GB2312" w:cs="DengXian-Regular"/>
          <w:sz w:val="32"/>
          <w:szCs w:val="32"/>
        </w:rPr>
        <w:t>年度机关运行经费支出</w:t>
      </w:r>
      <w:r>
        <w:rPr>
          <w:rFonts w:ascii="仿宋_GB2312" w:hAnsi="Times New Roman" w:eastAsia="仿宋_GB2312" w:cs="DengXian-Regular"/>
          <w:sz w:val="32"/>
          <w:szCs w:val="32"/>
        </w:rPr>
        <w:t>83.48</w:t>
      </w:r>
      <w:r>
        <w:rPr>
          <w:rFonts w:hint="eastAsia" w:ascii="仿宋_GB2312" w:eastAsia="仿宋_GB2312" w:cs="DengXian-Regular"/>
          <w:sz w:val="32"/>
          <w:szCs w:val="32"/>
        </w:rPr>
        <w:t>万元，比年初预算数增加23.14万元，增长38.35</w:t>
      </w:r>
      <w:r>
        <w:rPr>
          <w:rFonts w:ascii="仿宋_GB2312" w:eastAsia="仿宋_GB2312" w:cs="DengXian-Regular"/>
          <w:sz w:val="32"/>
          <w:szCs w:val="32"/>
        </w:rPr>
        <w:t>%</w:t>
      </w:r>
      <w:r>
        <w:rPr>
          <w:rFonts w:hint="eastAsia" w:ascii="仿宋_GB2312" w:eastAsia="仿宋_GB2312" w:cs="DengXian-Regular"/>
          <w:sz w:val="32"/>
          <w:szCs w:val="32"/>
        </w:rPr>
        <w:t>。主要原因是</w:t>
      </w:r>
      <w:r>
        <w:rPr>
          <w:rFonts w:ascii="仿宋_GB2312" w:hAnsi="Times New Roman" w:eastAsia="仿宋_GB2312" w:cs="DengXian-Regular"/>
          <w:sz w:val="32"/>
          <w:szCs w:val="32"/>
        </w:rPr>
        <w:t>增加公务员人员全年通信补贴，增加劳务派遣人员经费等支出</w:t>
      </w:r>
      <w:r>
        <w:rPr>
          <w:rFonts w:hint="eastAsia" w:ascii="仿宋_GB2312" w:eastAsia="仿宋_GB2312" w:cs="DengXian-Regular"/>
          <w:sz w:val="32"/>
          <w:szCs w:val="32"/>
        </w:rPr>
        <w:t>。</w:t>
      </w:r>
    </w:p>
    <w:p>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（二）政府采购情况</w:t>
      </w:r>
    </w:p>
    <w:p>
      <w:pPr>
        <w:snapToGrid w:val="0"/>
        <w:spacing w:line="580" w:lineRule="exact"/>
        <w:ind w:firstLine="640" w:firstLineChars="200"/>
        <w:jc w:val="left"/>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2019年度政府采购支出总额524.72万元，从采购类型来看，政府采购货物支出375.62万元、政府采购工程支出0万元、政府采购服务支出 149.1</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万元。授予中小企业合同金524.72万元，占政府采购支出总额的100%，其中授予小微企业合同金额375.62万元，占政府采购支出总额的 71.58%。</w:t>
      </w:r>
    </w:p>
    <w:p>
      <w:pPr>
        <w:snapToGrid w:val="0"/>
        <w:spacing w:line="580" w:lineRule="exact"/>
        <w:ind w:firstLine="640" w:firstLineChars="200"/>
        <w:jc w:val="left"/>
        <w:rPr>
          <w:rFonts w:ascii="仿宋_GB2312" w:hAnsi="Times New Roman" w:eastAsia="仿宋_GB2312" w:cs="DengXian-Regular"/>
          <w:sz w:val="32"/>
          <w:szCs w:val="32"/>
        </w:rPr>
      </w:pPr>
      <w:r>
        <w:rPr>
          <w:rFonts w:hint="eastAsia" w:ascii="仿宋_GB2312" w:hAnsi="Times New Roman" w:eastAsia="仿宋_GB2312" w:cs="DengXian-Regular"/>
          <w:sz w:val="32"/>
          <w:szCs w:val="32"/>
        </w:rPr>
        <w:t>与上年相比2019年政府采购支出增加了</w:t>
      </w:r>
      <w:r>
        <w:rPr>
          <w:rFonts w:ascii="仿宋_GB2312" w:hAnsi="Times New Roman" w:eastAsia="仿宋_GB2312" w:cs="DengXian-Regular"/>
          <w:sz w:val="32"/>
          <w:szCs w:val="32"/>
        </w:rPr>
        <w:t>524.72万元</w:t>
      </w:r>
      <w:r>
        <w:rPr>
          <w:rFonts w:hint="eastAsia" w:ascii="仿宋_GB2312" w:hAnsi="Times New Roman" w:eastAsia="仿宋_GB2312" w:cs="DengXian-Regular"/>
          <w:sz w:val="32"/>
          <w:szCs w:val="32"/>
        </w:rPr>
        <w:t>，</w:t>
      </w:r>
      <w:r>
        <w:rPr>
          <w:rFonts w:ascii="仿宋_GB2312" w:hAnsi="Times New Roman" w:eastAsia="仿宋_GB2312" w:cs="DengXian-Regular"/>
          <w:sz w:val="32"/>
          <w:szCs w:val="32"/>
        </w:rPr>
        <w:t>原因在于增加了</w:t>
      </w:r>
      <w:r>
        <w:rPr>
          <w:rFonts w:hint="eastAsia" w:ascii="仿宋_GB2312" w:hAnsi="仿宋_GB2312" w:eastAsia="仿宋_GB2312" w:cs="仿宋_GB2312"/>
          <w:sz w:val="32"/>
          <w:szCs w:val="32"/>
        </w:rPr>
        <w:t>财税大数据云平台建设项目以及其他采购项目。</w:t>
      </w:r>
    </w:p>
    <w:p>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（三）国有资产占用情况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截至</w:t>
      </w:r>
      <w:r>
        <w:rPr>
          <w:rFonts w:ascii="仿宋_GB2312" w:hAnsi="Times New Roman" w:eastAsia="仿宋_GB2312" w:cs="DengXian-Regular"/>
          <w:sz w:val="32"/>
          <w:szCs w:val="32"/>
        </w:rPr>
        <w:t>2019年12月31日，本部门共有车辆</w:t>
      </w:r>
      <w:r>
        <w:rPr>
          <w:rFonts w:hint="eastAsia" w:ascii="仿宋_GB2312" w:hAnsi="Times New Roman" w:eastAsia="仿宋_GB2312" w:cs="DengXian-Regular"/>
          <w:sz w:val="32"/>
          <w:szCs w:val="32"/>
        </w:rPr>
        <w:t>2</w:t>
      </w:r>
      <w:r>
        <w:rPr>
          <w:rFonts w:ascii="仿宋_GB2312" w:hAnsi="Times New Roman" w:eastAsia="仿宋_GB2312" w:cs="DengXian-Regular"/>
          <w:sz w:val="32"/>
          <w:szCs w:val="32"/>
        </w:rPr>
        <w:t>辆，</w:t>
      </w:r>
      <w:r>
        <w:rPr>
          <w:rFonts w:hint="eastAsia" w:ascii="仿宋_GB2312" w:hAnsi="Times New Roman" w:eastAsia="仿宋_GB2312" w:cs="DengXian-Regular"/>
          <w:sz w:val="32"/>
          <w:szCs w:val="32"/>
        </w:rPr>
        <w:t>与上年决算数持平</w:t>
      </w:r>
      <w:r>
        <w:rPr>
          <w:rFonts w:ascii="仿宋_GB2312" w:hAnsi="Times New Roman" w:eastAsia="仿宋_GB2312" w:cs="DengXian-Regular"/>
          <w:sz w:val="32"/>
          <w:szCs w:val="32"/>
        </w:rPr>
        <w:t>。其中，副部（省）级及以上领导用车</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辆，主要领导干部用车</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辆，机要通信用车</w:t>
      </w:r>
      <w:r>
        <w:rPr>
          <w:rFonts w:hint="eastAsia" w:ascii="仿宋_GB2312" w:hAnsi="Times New Roman" w:eastAsia="仿宋_GB2312" w:cs="DengXian-Regular"/>
          <w:sz w:val="32"/>
          <w:szCs w:val="32"/>
        </w:rPr>
        <w:t>2</w:t>
      </w:r>
      <w:r>
        <w:rPr>
          <w:rFonts w:ascii="仿宋_GB2312" w:hAnsi="Times New Roman" w:eastAsia="仿宋_GB2312" w:cs="DengXian-Regular"/>
          <w:sz w:val="32"/>
          <w:szCs w:val="32"/>
        </w:rPr>
        <w:t>辆，应急保障用车</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辆，执法执勤用车</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辆，特种专业技术用车</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辆，离退休干部用车</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辆，其他用车</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辆；</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单位价值</w:t>
      </w:r>
      <w:r>
        <w:rPr>
          <w:rFonts w:ascii="仿宋_GB2312" w:hAnsi="Times New Roman" w:eastAsia="仿宋_GB2312" w:cs="DengXian-Regular"/>
          <w:sz w:val="32"/>
          <w:szCs w:val="32"/>
        </w:rPr>
        <w:t>50万元以上通用设备</w:t>
      </w:r>
      <w:r>
        <w:rPr>
          <w:rFonts w:hint="eastAsia" w:ascii="仿宋_GB2312" w:hAnsi="Times New Roman" w:eastAsia="仿宋_GB2312" w:cs="DengXian-Regular"/>
          <w:sz w:val="32"/>
          <w:szCs w:val="32"/>
        </w:rPr>
        <w:t>1</w:t>
      </w:r>
      <w:r>
        <w:rPr>
          <w:rFonts w:ascii="仿宋_GB2312" w:hAnsi="Times New Roman" w:eastAsia="仿宋_GB2312" w:cs="DengXian-Regular"/>
          <w:sz w:val="32"/>
          <w:szCs w:val="32"/>
        </w:rPr>
        <w:t>台（套），</w:t>
      </w:r>
      <w:r>
        <w:rPr>
          <w:rFonts w:hint="eastAsia" w:ascii="仿宋_GB2312" w:hAnsi="Times New Roman" w:eastAsia="仿宋_GB2312" w:cs="DengXian-Regular"/>
          <w:sz w:val="32"/>
          <w:szCs w:val="32"/>
        </w:rPr>
        <w:t>与</w:t>
      </w:r>
      <w:r>
        <w:rPr>
          <w:rFonts w:ascii="仿宋_GB2312" w:hAnsi="Times New Roman" w:eastAsia="仿宋_GB2312" w:cs="DengXian-Regular"/>
          <w:sz w:val="32"/>
          <w:szCs w:val="32"/>
        </w:rPr>
        <w:t>上年</w:t>
      </w:r>
      <w:r>
        <w:rPr>
          <w:rFonts w:hint="eastAsia" w:ascii="仿宋_GB2312" w:hAnsi="Times New Roman" w:eastAsia="仿宋_GB2312" w:cs="DengXian-Regular"/>
          <w:sz w:val="32"/>
          <w:szCs w:val="32"/>
        </w:rPr>
        <w:t>决算</w:t>
      </w:r>
      <w:r>
        <w:rPr>
          <w:rFonts w:ascii="仿宋_GB2312" w:hAnsi="Times New Roman" w:eastAsia="仿宋_GB2312" w:cs="DengXian-Regular"/>
          <w:sz w:val="32"/>
          <w:szCs w:val="32"/>
        </w:rPr>
        <w:t>数持平，单位价值100万元以上专用设备</w:t>
      </w:r>
      <w:r>
        <w:rPr>
          <w:rFonts w:hint="eastAsia" w:ascii="仿宋_GB2312" w:hAnsi="Times New Roman" w:eastAsia="仿宋_GB2312" w:cs="DengXian-Regular"/>
          <w:sz w:val="32"/>
          <w:szCs w:val="32"/>
        </w:rPr>
        <w:t>0</w:t>
      </w:r>
      <w:r>
        <w:rPr>
          <w:rFonts w:ascii="仿宋_GB2312" w:hAnsi="Times New Roman" w:eastAsia="仿宋_GB2312" w:cs="DengXian-Regular"/>
          <w:sz w:val="32"/>
          <w:szCs w:val="32"/>
        </w:rPr>
        <w:t>台（套）</w:t>
      </w:r>
      <w:r>
        <w:rPr>
          <w:rFonts w:hint="eastAsia" w:ascii="仿宋_GB2312" w:hAnsi="Times New Roman" w:eastAsia="仿宋_GB2312" w:cs="DengXian-Regular"/>
          <w:sz w:val="32"/>
          <w:szCs w:val="32"/>
        </w:rPr>
        <w:t>，与</w:t>
      </w:r>
      <w:r>
        <w:rPr>
          <w:rFonts w:ascii="仿宋_GB2312" w:hAnsi="Times New Roman" w:eastAsia="仿宋_GB2312" w:cs="DengXian-Regular"/>
          <w:sz w:val="32"/>
          <w:szCs w:val="32"/>
        </w:rPr>
        <w:t>上年</w:t>
      </w:r>
      <w:r>
        <w:rPr>
          <w:rFonts w:hint="eastAsia" w:ascii="仿宋_GB2312" w:hAnsi="Times New Roman" w:eastAsia="仿宋_GB2312" w:cs="DengXian-Regular"/>
          <w:sz w:val="32"/>
          <w:szCs w:val="32"/>
        </w:rPr>
        <w:t>决算</w:t>
      </w:r>
      <w:r>
        <w:rPr>
          <w:rFonts w:ascii="仿宋_GB2312" w:hAnsi="Times New Roman" w:eastAsia="仿宋_GB2312" w:cs="DengXian-Regular"/>
          <w:sz w:val="32"/>
          <w:szCs w:val="32"/>
        </w:rPr>
        <w:t>数持平。</w:t>
      </w:r>
    </w:p>
    <w:p>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（四）其他需要说明的情况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ascii="仿宋_GB2312" w:hAnsi="Times New Roman" w:eastAsia="仿宋_GB2312" w:cs="DengXian-Regular"/>
          <w:sz w:val="32"/>
          <w:szCs w:val="32"/>
        </w:rPr>
        <w:t xml:space="preserve">1. </w:t>
      </w: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2019年度国有资本经营预算财政拨款无收支及结转结余情况，故国有资本经营预算财政拨款支出决算表以空表列示。</w:t>
      </w:r>
    </w:p>
    <w:p>
      <w:pPr>
        <w:adjustRightInd w:val="0"/>
        <w:snapToGrid w:val="0"/>
        <w:spacing w:line="580" w:lineRule="exact"/>
        <w:ind w:firstLine="640" w:firstLineChars="200"/>
        <w:rPr>
          <w:rFonts w:ascii="仿宋_GB2312" w:hAnsi="Times New Roman" w:eastAsia="仿宋_GB2312" w:cs="DengXian-Regular"/>
          <w:sz w:val="32"/>
          <w:szCs w:val="32"/>
        </w:rPr>
      </w:pPr>
      <w:r>
        <w:rPr>
          <w:rFonts w:ascii="仿宋_GB2312" w:hAnsi="Times New Roman" w:eastAsia="仿宋_GB2312" w:cs="DengXian-Regular"/>
          <w:sz w:val="32"/>
          <w:szCs w:val="32"/>
        </w:rPr>
        <w:t xml:space="preserve">2. </w:t>
      </w:r>
      <w:r>
        <w:rPr>
          <w:rFonts w:hint="eastAsia" w:ascii="仿宋_GB2312" w:hAnsi="Times New Roman" w:eastAsia="仿宋_GB2312" w:cs="DengXian-Regular"/>
          <w:sz w:val="32"/>
          <w:szCs w:val="32"/>
        </w:rPr>
        <w:t>由于决算公开表格中金额数值应当保留两位小数，公开数据为四舍五入计算结果，个别数据合计项与分项之和存在小数点后差额，特此说明。</w:t>
      </w:r>
    </w:p>
    <w:p>
      <w:pPr>
        <w:widowControl/>
        <w:spacing w:line="580" w:lineRule="exact"/>
        <w:ind w:firstLine="883" w:firstLineChars="200"/>
        <w:jc w:val="left"/>
        <w:rPr>
          <w:rFonts w:ascii="宋体" w:hAnsi="宋体" w:eastAsia="宋体" w:cs="MS-UIGothic,Bold"/>
          <w:b/>
          <w:bCs/>
          <w:kern w:val="0"/>
          <w:sz w:val="44"/>
          <w:szCs w:val="44"/>
        </w:rPr>
        <w:sectPr>
          <w:type w:val="continuous"/>
          <w:pgSz w:w="11906" w:h="16838"/>
          <w:pgMar w:top="2098" w:right="1474" w:bottom="1984" w:left="1588" w:header="851" w:footer="992" w:gutter="0"/>
          <w:pgNumType w:fmt="numberInDash"/>
          <w:cols w:space="0" w:num="1"/>
          <w:docGrid w:type="lines" w:linePitch="312" w:charSpace="0"/>
        </w:sectPr>
      </w:pPr>
    </w:p>
    <w:p>
      <w:pPr>
        <w:jc w:val="center"/>
        <w:rPr>
          <w:rFonts w:ascii="黑体" w:hAnsi="黑体" w:eastAsia="黑体" w:cs="黑体"/>
          <w:sz w:val="56"/>
          <w:szCs w:val="72"/>
        </w:rPr>
      </w:pPr>
    </w:p>
    <w:p>
      <w:pPr>
        <w:jc w:val="center"/>
        <w:rPr>
          <w:rFonts w:ascii="黑体" w:hAnsi="黑体" w:eastAsia="黑体" w:cs="黑体"/>
          <w:sz w:val="56"/>
          <w:szCs w:val="72"/>
        </w:rPr>
        <w:sectPr>
          <w:type w:val="continuous"/>
          <w:pgSz w:w="11906" w:h="16838"/>
          <w:pgMar w:top="2041" w:right="1531" w:bottom="2041" w:left="1531" w:header="851" w:footer="992" w:gutter="0"/>
          <w:pgNumType w:fmt="numberInDash"/>
          <w:cols w:space="0" w:num="1"/>
          <w:titlePg/>
          <w:docGrid w:type="lines" w:linePitch="312" w:charSpace="0"/>
        </w:sectPr>
      </w:pPr>
    </w:p>
    <w:p>
      <w:pPr>
        <w:rPr>
          <w:rFonts w:ascii="黑体" w:hAnsi="黑体" w:eastAsia="黑体" w:cs="黑体"/>
          <w:sz w:val="56"/>
          <w:szCs w:val="72"/>
        </w:rPr>
        <w:sectPr>
          <w:type w:val="continuous"/>
          <w:pgSz w:w="11906" w:h="16838"/>
          <w:pgMar w:top="2041" w:right="1531" w:bottom="2041" w:left="1531" w:header="851" w:footer="992" w:gutter="0"/>
          <w:pgNumType w:fmt="numberInDash"/>
          <w:cols w:space="0" w:num="1"/>
          <w:titlePg/>
          <w:docGrid w:type="lines" w:linePitch="312" w:charSpace="0"/>
        </w:sectPr>
      </w:pPr>
      <w:r>
        <w:rPr>
          <w:rFonts w:ascii="黑体" w:hAnsi="黑体" w:eastAsia="黑体" w:cs="黑体"/>
          <w:sz w:val="56"/>
          <w:szCs w:val="72"/>
        </w:rPr>
        <w:br w:type="page"/>
      </w:r>
    </w:p>
    <w:p>
      <w:pP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sz w:val="72"/>
        </w:rPr>
      </w:pPr>
      <w:r>
        <mc:AlternateContent>
          <mc:Choice Requires="wps">
            <w:drawing>
              <wp:anchor distT="0" distB="0" distL="114300" distR="114300" simplePos="0" relativeHeight="251667456" behindDoc="0" locked="0" layoutInCell="1" allowOverlap="1">
                <wp:simplePos x="0" y="0"/>
                <wp:positionH relativeFrom="column">
                  <wp:posOffset>-1021715</wp:posOffset>
                </wp:positionH>
                <wp:positionV relativeFrom="paragraph">
                  <wp:posOffset>441960</wp:posOffset>
                </wp:positionV>
                <wp:extent cx="7793355" cy="3341370"/>
                <wp:effectExtent l="6985" t="13335" r="10160" b="7620"/>
                <wp:wrapNone/>
                <wp:docPr id="3" name="Text Box 64" descr="ooxWord://word/media/image1.bmp"/>
                <wp:cNvGraphicFramePr/>
                <a:graphic xmlns:a="http://schemas.openxmlformats.org/drawingml/2006/main">
                  <a:graphicData uri="http://schemas.microsoft.com/office/word/2010/wordprocessingShape">
                    <wps:wsp>
                      <wps:cNvSpPr txBox="1">
                        <a:spLocks noChangeArrowheads="1"/>
                      </wps:cNvSpPr>
                      <wps:spPr bwMode="auto">
                        <a:xfrm>
                          <a:off x="0" y="0"/>
                          <a:ext cx="7793355" cy="3341370"/>
                        </a:xfrm>
                        <a:prstGeom prst="rect">
                          <a:avLst/>
                        </a:prstGeom>
                        <a:solidFill>
                          <a:srgbClr val="FFD966"/>
                        </a:solidFill>
                        <a:ln w="6350">
                          <a:solidFill>
                            <a:srgbClr val="FFD966"/>
                          </a:solidFill>
                          <a:round/>
                        </a:ln>
                      </wps:spPr>
                      <wps:txbx>
                        <w:txbxContent>
                          <w:p>
                            <w:pPr>
                              <w:widowControl/>
                              <w:jc w:val="center"/>
                            </w:pPr>
                            <w:r>
                              <w:rPr>
                                <w:rFonts w:hint="eastAsia" w:ascii="黑体" w:hAnsi="黑体" w:eastAsia="黑体" w:cs="黑体"/>
                                <w:color w:val="000000"/>
                                <w:sz w:val="90"/>
                                <w:szCs w:val="90"/>
                              </w:rPr>
                              <w:t>第三部分</w:t>
                            </w:r>
                            <w:r>
                              <w:rPr>
                                <w:rFonts w:ascii="黑体" w:hAnsi="黑体" w:eastAsia="黑体" w:cs="黑体"/>
                                <w:color w:val="000000"/>
                                <w:sz w:val="90"/>
                                <w:szCs w:val="90"/>
                              </w:rPr>
                              <w:t xml:space="preserve"> </w:t>
                            </w:r>
                            <w:r>
                              <w:rPr>
                                <w:rFonts w:hint="eastAsia" w:ascii="黑体" w:hAnsi="黑体" w:eastAsia="黑体" w:cs="黑体"/>
                                <w:color w:val="000000"/>
                                <w:sz w:val="90"/>
                                <w:szCs w:val="90"/>
                              </w:rPr>
                              <w:t>相关名词解释</w:t>
                            </w:r>
                          </w:p>
                        </w:txbxContent>
                      </wps:txbx>
                      <wps:bodyPr rot="0" vert="horz" wrap="square" lIns="91440" tIns="45720" rIns="91440" bIns="45720" anchor="ctr" anchorCtr="0" upright="1">
                        <a:noAutofit/>
                      </wps:bodyPr>
                    </wps:wsp>
                  </a:graphicData>
                </a:graphic>
              </wp:anchor>
            </w:drawing>
          </mc:Choice>
          <mc:Fallback>
            <w:pict>
              <v:shape id="Text Box 64" o:spid="_x0000_s1026" o:spt="202" alt="ooxWord://word/media/image1.bmp" type="#_x0000_t202" style="position:absolute;left:0pt;margin-left:-80.45pt;margin-top:34.8pt;height:263.1pt;width:613.65pt;z-index:251667456;v-text-anchor:middle;mso-width-relative:page;mso-height-relative:page;" fillcolor="#FFD966" filled="t" stroked="t" coordsize="21600,21600" o:gfxdata="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NfBJZDYAAAADAEAAA8AAAAAAAAAAQAg&#10;AAAAIgAAAGRycy9kb3ducmV2LnhtbFBLAQIUABQAAAAIAIdO4kAscIP7RwIAAKUEAAAOAAAAAAAA&#10;AAEAIAAAACcBAABkcnMvZTJvRG9jLnhtbFBLBQYAAAAABgAGAFkBAADgBQAAAAA=&#10;">
                <v:fill on="t" focussize="0,0"/>
                <v:stroke weight="0.5pt" color="#FFD966" joinstyle="round"/>
                <v:imagedata o:title=""/>
                <o:lock v:ext="edit" aspectratio="f"/>
                <v:textbox>
                  <w:txbxContent>
                    <w:p>
                      <w:pPr>
                        <w:widowControl/>
                        <w:jc w:val="center"/>
                      </w:pPr>
                      <w:r>
                        <w:rPr>
                          <w:rFonts w:hint="eastAsia" w:ascii="黑体" w:hAnsi="黑体" w:eastAsia="黑体" w:cs="黑体"/>
                          <w:color w:val="000000"/>
                          <w:sz w:val="90"/>
                          <w:szCs w:val="90"/>
                        </w:rPr>
                        <w:t>第三部分</w:t>
                      </w:r>
                      <w:r>
                        <w:rPr>
                          <w:rFonts w:ascii="黑体" w:hAnsi="黑体" w:eastAsia="黑体" w:cs="黑体"/>
                          <w:color w:val="000000"/>
                          <w:sz w:val="90"/>
                          <w:szCs w:val="90"/>
                        </w:rPr>
                        <w:t xml:space="preserve"> </w:t>
                      </w:r>
                      <w:r>
                        <w:rPr>
                          <w:rFonts w:hint="eastAsia" w:ascii="黑体" w:hAnsi="黑体" w:eastAsia="黑体" w:cs="黑体"/>
                          <w:color w:val="000000"/>
                          <w:sz w:val="90"/>
                          <w:szCs w:val="90"/>
                        </w:rPr>
                        <w:t>相关名词解释</w:t>
                      </w:r>
                    </w:p>
                  </w:txbxContent>
                </v:textbox>
              </v:shape>
            </w:pict>
          </mc:Fallback>
        </mc:AlternateContent>
      </w:r>
    </w:p>
    <w:p/>
    <w:p/>
    <w:p/>
    <w:p/>
    <w:p/>
    <w:p/>
    <w:p/>
    <w:p/>
    <w:p/>
    <w:p/>
    <w:p/>
    <w:p/>
    <w:p/>
    <w:p>
      <w:pPr>
        <w:tabs>
          <w:tab w:val="left" w:pos="886"/>
        </w:tabs>
        <w:jc w:val="left"/>
        <w:sectPr>
          <w:headerReference r:id="rId11" w:type="first"/>
          <w:pgSz w:w="11906" w:h="16838"/>
          <w:pgMar w:top="2041" w:right="1531" w:bottom="2041" w:left="1531" w:header="851" w:footer="992" w:gutter="0"/>
          <w:pgNumType w:fmt="numberInDash"/>
          <w:cols w:space="0" w:num="1"/>
          <w:titlePg/>
          <w:docGrid w:type="lines" w:linePitch="312" w:charSpace="0"/>
        </w:sectPr>
      </w:pPr>
    </w:p>
    <w:p>
      <w:pPr>
        <w:rPr>
          <w:rFonts w:ascii="仿宋_GB2312" w:hAnsi="宋体" w:eastAsia="仿宋_GB2312" w:cs="ArialUnicodeMS"/>
          <w:sz w:val="32"/>
          <w:szCs w:val="32"/>
          <w:highlight w:val="yellow"/>
        </w:rPr>
      </w:pPr>
    </w:p>
    <w:p>
      <w:pPr>
        <w:widowControl/>
        <w:spacing w:line="560" w:lineRule="exact"/>
        <w:ind w:firstLine="640" w:firstLineChars="200"/>
        <w:rPr>
          <w:rFonts w:ascii="仿宋_GB2312" w:hAnsi="宋体" w:eastAsia="仿宋_GB2312" w:cs="ArialUnicodeMS"/>
          <w:sz w:val="32"/>
          <w:szCs w:val="32"/>
        </w:rPr>
      </w:pPr>
    </w:p>
    <w:p>
      <w:pPr>
        <w:widowControl/>
        <w:spacing w:line="560" w:lineRule="exact"/>
        <w:ind w:firstLine="640" w:firstLineChars="200"/>
        <w:rPr>
          <w:rFonts w:ascii="仿宋_GB2312" w:hAnsi="宋体" w:eastAsia="仿宋_GB2312" w:cs="ArialUnicodeMS"/>
          <w:sz w:val="32"/>
          <w:szCs w:val="32"/>
        </w:rPr>
      </w:pPr>
    </w:p>
    <w:p>
      <w:pPr>
        <w:widowControl/>
        <w:spacing w:line="560" w:lineRule="exact"/>
        <w:ind w:firstLine="640" w:firstLineChars="200"/>
        <w:rPr>
          <w:rFonts w:ascii="仿宋_GB2312" w:hAnsi="宋体" w:eastAsia="仿宋_GB2312" w:cs="ArialUnicodeMS"/>
          <w:sz w:val="32"/>
          <w:szCs w:val="32"/>
        </w:rPr>
      </w:pPr>
    </w:p>
    <w:p>
      <w:pPr>
        <w:widowControl/>
        <w:spacing w:line="560" w:lineRule="exact"/>
        <w:ind w:firstLine="640" w:firstLineChars="200"/>
        <w:rPr>
          <w:rFonts w:ascii="仿宋_GB2312" w:hAnsi="宋体" w:eastAsia="仿宋_GB2312" w:cs="ArialUnicodeMS"/>
          <w:sz w:val="32"/>
          <w:szCs w:val="32"/>
        </w:rPr>
      </w:pPr>
    </w:p>
    <w:p>
      <w:pPr>
        <w:widowControl/>
        <w:spacing w:line="560" w:lineRule="exact"/>
        <w:ind w:firstLine="640" w:firstLineChars="200"/>
        <w:rPr>
          <w:rFonts w:ascii="仿宋_GB2312" w:hAnsi="宋体" w:eastAsia="仿宋_GB2312" w:cs="ArialUnicodeMS"/>
          <w:sz w:val="32"/>
          <w:szCs w:val="32"/>
        </w:rPr>
      </w:pPr>
    </w:p>
    <w:p>
      <w:pPr>
        <w:widowControl/>
        <w:spacing w:line="560" w:lineRule="exact"/>
        <w:ind w:firstLine="640" w:firstLineChars="200"/>
        <w:rPr>
          <w:rFonts w:ascii="仿宋_GB2312" w:hAnsi="宋体" w:eastAsia="仿宋_GB2312" w:cs="ArialUnicodeMS"/>
          <w:sz w:val="32"/>
          <w:szCs w:val="32"/>
        </w:rPr>
      </w:pP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（一）财政拨款收入：</w:t>
      </w:r>
      <w:r>
        <w:rPr>
          <w:rFonts w:hint="eastAsia" w:ascii="仿宋_GB2312" w:hAnsi="宋体" w:eastAsia="仿宋_GB2312"/>
          <w:color w:val="000000"/>
          <w:kern w:val="0"/>
          <w:sz w:val="32"/>
          <w:szCs w:val="32"/>
        </w:rPr>
        <w:t>本年度从本级财政部门取得的财政拨款，包括一般公共预算财政拨款和政府性基金预算财政拨款。</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（二）事业收入：</w:t>
      </w:r>
      <w:r>
        <w:rPr>
          <w:rFonts w:hint="eastAsia" w:ascii="仿宋_GB2312" w:hAnsi="宋体" w:eastAsia="仿宋_GB2312"/>
          <w:color w:val="000000"/>
          <w:kern w:val="0"/>
          <w:sz w:val="32"/>
          <w:szCs w:val="32"/>
        </w:rPr>
        <w:t>指事业单位开展专业业务活动及辅助活动所取得的收入。</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（三）其他收入：</w:t>
      </w:r>
      <w:r>
        <w:rPr>
          <w:rFonts w:hint="eastAsia" w:ascii="仿宋_GB2312" w:hAnsi="宋体" w:eastAsia="仿宋_GB2312"/>
          <w:color w:val="000000"/>
          <w:kern w:val="0"/>
          <w:sz w:val="32"/>
          <w:szCs w:val="32"/>
        </w:rPr>
        <w:t>指除上述“财政拨款收入”“事业收入”“经营收入”等以外的收入。</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（四）用事业基金弥补收支差额：</w:t>
      </w:r>
      <w:r>
        <w:rPr>
          <w:rFonts w:hint="eastAsia" w:ascii="仿宋_GB2312" w:hAnsi="宋体" w:eastAsia="仿宋_GB2312"/>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（五）年初结转和结余：</w:t>
      </w:r>
      <w:r>
        <w:rPr>
          <w:rFonts w:hint="eastAsia" w:ascii="仿宋_GB2312" w:hAnsi="宋体" w:eastAsia="仿宋_GB2312"/>
          <w:color w:val="000000"/>
          <w:kern w:val="0"/>
          <w:sz w:val="32"/>
          <w:szCs w:val="32"/>
        </w:rPr>
        <w:t>指以前年度尚未完成、结转到本年仍按原规定用途继续使用的资金，或项目已完成等产生的结余资金。</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（六）结余分配：</w:t>
      </w:r>
      <w:r>
        <w:rPr>
          <w:rFonts w:hint="eastAsia" w:ascii="仿宋_GB2312" w:hAnsi="宋体" w:eastAsia="仿宋_GB2312"/>
          <w:color w:val="000000"/>
          <w:kern w:val="0"/>
          <w:sz w:val="32"/>
          <w:szCs w:val="32"/>
        </w:rPr>
        <w:t>指事业单位按照事业单位会计制度的规定从非财政补助结余中分配的事业基金和职工福利基金等。</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（七）年末结转和结余：</w:t>
      </w:r>
      <w:r>
        <w:rPr>
          <w:rFonts w:hint="eastAsia" w:ascii="仿宋_GB2312" w:hAnsi="宋体" w:eastAsia="仿宋_GB2312"/>
          <w:color w:val="000000"/>
          <w:kern w:val="0"/>
          <w:sz w:val="32"/>
          <w:szCs w:val="32"/>
        </w:rPr>
        <w:t>指单位按有关规定结转到下年或以后年度继续使用的资金，或项目已完成等产生的结余资金。</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（八）基本支出：</w:t>
      </w:r>
      <w:r>
        <w:rPr>
          <w:rFonts w:hint="eastAsia" w:ascii="仿宋_GB2312" w:hAnsi="宋体" w:eastAsia="仿宋_GB2312"/>
          <w:color w:val="000000"/>
          <w:kern w:val="0"/>
          <w:sz w:val="32"/>
          <w:szCs w:val="32"/>
        </w:rPr>
        <w:t>填列单位为保障机构正常运转、完成日常工作任务而发生的各项支出。</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（九）项目支出：</w:t>
      </w:r>
      <w:r>
        <w:rPr>
          <w:rFonts w:hint="eastAsia" w:ascii="仿宋_GB2312" w:hAnsi="宋体" w:eastAsia="仿宋_GB2312"/>
          <w:color w:val="000000"/>
          <w:kern w:val="0"/>
          <w:sz w:val="32"/>
          <w:szCs w:val="32"/>
        </w:rPr>
        <w:t>填列单位为完成特定的行政工作任务或事业发展目标，在基本支出之外发生的各项支出</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（十）基本建设支出：</w:t>
      </w:r>
      <w:r>
        <w:rPr>
          <w:rFonts w:hint="eastAsia" w:ascii="仿宋_GB2312" w:hAnsi="宋体" w:eastAsia="仿宋_GB2312"/>
          <w:color w:val="000000"/>
          <w:kern w:val="0"/>
          <w:sz w:val="32"/>
          <w:szCs w:val="32"/>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（十一）其他资本性支出：</w:t>
      </w:r>
      <w:r>
        <w:rPr>
          <w:rFonts w:hint="eastAsia" w:ascii="仿宋_GB2312" w:hAnsi="宋体" w:eastAsia="仿宋_GB2312"/>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pPr>
        <w:snapToGrid w:val="0"/>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（十二）“三公”经费：</w:t>
      </w:r>
      <w:r>
        <w:rPr>
          <w:rFonts w:hint="eastAsia" w:ascii="仿宋_GB2312" w:hAnsi="宋体" w:eastAsia="仿宋_GB2312"/>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牌照费）及按规定保留的公务用车燃料费、维修费、过桥过路费、保险费、安全奖励费用等支出；公务接待费反映单位按规定开支的各类公务接待（含外宾接待）支出。</w:t>
      </w:r>
    </w:p>
    <w:p>
      <w:pPr>
        <w:snapToGrid w:val="0"/>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（十三）其他交通费用：</w:t>
      </w:r>
      <w:r>
        <w:rPr>
          <w:rFonts w:hint="eastAsia" w:ascii="仿宋_GB2312" w:hAnsi="宋体" w:eastAsia="仿宋_GB2312"/>
          <w:color w:val="000000"/>
          <w:kern w:val="0"/>
          <w:sz w:val="32"/>
          <w:szCs w:val="32"/>
        </w:rPr>
        <w:t>填列单位除公务用车运行维护费以外的其他交通费用。如公务交通补贴、租车费用、出租车费用，飞机、船舶等燃料费、维修费、保险费等。</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（十四）公务用车购置：</w:t>
      </w:r>
      <w:r>
        <w:rPr>
          <w:rFonts w:hint="eastAsia" w:ascii="仿宋_GB2312" w:hAnsi="宋体" w:eastAsia="仿宋_GB2312"/>
          <w:color w:val="000000"/>
          <w:kern w:val="0"/>
          <w:sz w:val="32"/>
          <w:szCs w:val="32"/>
        </w:rPr>
        <w:t>填列单位公务用车车辆购置支出（含车辆购置税、牌照费）。</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（十五）其他交通工具购置：</w:t>
      </w:r>
      <w:r>
        <w:rPr>
          <w:rFonts w:hint="eastAsia" w:ascii="仿宋_GB2312" w:hAnsi="宋体" w:eastAsia="仿宋_GB2312"/>
          <w:color w:val="000000"/>
          <w:kern w:val="0"/>
          <w:sz w:val="32"/>
          <w:szCs w:val="32"/>
        </w:rPr>
        <w:t>填列单位除公务用车外的其他各类交通工具（如船舶、飞机等）购置支出（含车辆购置税、牌照费）。</w:t>
      </w:r>
    </w:p>
    <w:p>
      <w:pPr>
        <w:widowControl/>
        <w:spacing w:line="560" w:lineRule="exact"/>
        <w:ind w:firstLine="643" w:firstLineChars="200"/>
        <w:rPr>
          <w:rFonts w:ascii="仿宋_GB2312" w:hAnsi="宋体" w:eastAsia="仿宋_GB2312"/>
          <w:color w:val="000000"/>
          <w:kern w:val="0"/>
          <w:sz w:val="32"/>
          <w:szCs w:val="32"/>
        </w:rPr>
      </w:pPr>
      <w:r>
        <w:rPr>
          <w:rFonts w:hint="eastAsia" w:ascii="仿宋_GB2312" w:hAnsi="宋体" w:eastAsia="仿宋_GB2312"/>
          <w:b/>
          <w:bCs/>
          <w:color w:val="000000"/>
          <w:kern w:val="0"/>
          <w:sz w:val="32"/>
          <w:szCs w:val="32"/>
        </w:rPr>
        <w:t>（十六）机关运行经费：</w:t>
      </w:r>
      <w:r>
        <w:rPr>
          <w:rFonts w:hint="eastAsia" w:ascii="仿宋_GB2312" w:hAnsi="宋体" w:eastAsia="仿宋_GB2312"/>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tabs>
          <w:tab w:val="left" w:pos="235"/>
        </w:tabs>
        <w:jc w:val="left"/>
        <w:rPr>
          <w:rFonts w:ascii="仿宋_GB2312" w:hAnsi="Cambria" w:eastAsia="仿宋_GB2312" w:cs="ArialUnicodeMS"/>
          <w:kern w:val="0"/>
          <w:sz w:val="32"/>
          <w:szCs w:val="32"/>
        </w:rPr>
      </w:pPr>
      <w:r>
        <w:rPr>
          <w:rFonts w:hint="eastAsia" w:ascii="仿宋_GB2312" w:hAnsi="宋体" w:eastAsia="仿宋_GB2312"/>
          <w:b/>
          <w:bCs/>
          <w:color w:val="000000"/>
          <w:kern w:val="0"/>
          <w:sz w:val="32"/>
          <w:szCs w:val="32"/>
        </w:rPr>
        <w:t>（十七）经费形式</w:t>
      </w:r>
      <w:r>
        <w:rPr>
          <w:rFonts w:ascii="仿宋_GB2312" w:hAnsi="宋体" w:eastAsia="仿宋_GB2312"/>
          <w:b/>
          <w:bCs/>
          <w:color w:val="000000"/>
          <w:kern w:val="0"/>
          <w:sz w:val="32"/>
          <w:szCs w:val="32"/>
        </w:rPr>
        <w:t>:</w:t>
      </w:r>
      <w:r>
        <w:rPr>
          <w:rFonts w:hint="eastAsia" w:ascii="仿宋_GB2312" w:hAnsi="宋体" w:eastAsia="仿宋_GB2312"/>
          <w:color w:val="000000"/>
          <w:kern w:val="0"/>
          <w:sz w:val="32"/>
          <w:szCs w:val="32"/>
        </w:rPr>
        <w:t>按照经费来源，</w:t>
      </w:r>
      <w:r>
        <w:rPr>
          <w:rFonts w:hint="eastAsia" w:ascii="仿宋_GB2312" w:hAnsi="Cambria" w:eastAsia="仿宋_GB2312" w:cs="ArialUnicodeMS"/>
          <w:kern w:val="0"/>
          <w:sz w:val="32"/>
          <w:szCs w:val="32"/>
        </w:rPr>
        <w:t>可分为财政拨款、财政性资金基本保证、财政性资金定额或定项补助、财政性资金零补助四类。</w:t>
      </w:r>
    </w:p>
    <w:p/>
    <w:p/>
    <w:p/>
    <w:p>
      <w:pPr>
        <w:jc w:val="left"/>
        <w:sectPr>
          <w:headerReference r:id="rId12" w:type="default"/>
          <w:type w:val="continuous"/>
          <w:pgSz w:w="11906" w:h="16838"/>
          <w:pgMar w:top="2098" w:right="1474" w:bottom="1985" w:left="1588" w:header="851" w:footer="992" w:gutter="0"/>
          <w:pgNumType w:fmt="numberInDash"/>
          <w:cols w:space="425" w:num="1"/>
          <w:docGrid w:type="lines" w:linePitch="312" w:charSpace="0"/>
        </w:sectPr>
      </w:pPr>
    </w:p>
    <w:p>
      <w:pPr>
        <w:tabs>
          <w:tab w:val="left" w:pos="235"/>
        </w:tabs>
        <w:jc w:val="left"/>
        <w:sectPr>
          <w:pgSz w:w="11906" w:h="16838"/>
          <w:pgMar w:top="2098" w:right="1474" w:bottom="1985" w:left="1588" w:header="851" w:footer="992" w:gutter="0"/>
          <w:pgNumType w:fmt="numberInDash"/>
          <w:cols w:space="425" w:num="1"/>
          <w:docGrid w:type="lines" w:linePitch="312" w:charSpace="0"/>
        </w:sectPr>
      </w:pPr>
      <w:r>
        <mc:AlternateContent>
          <mc:Choice Requires="wps">
            <w:drawing>
              <wp:anchor distT="0" distB="0" distL="114300" distR="114300" simplePos="0" relativeHeight="251659264" behindDoc="1" locked="0" layoutInCell="1" allowOverlap="1">
                <wp:simplePos x="0" y="0"/>
                <wp:positionH relativeFrom="column">
                  <wp:posOffset>-1042035</wp:posOffset>
                </wp:positionH>
                <wp:positionV relativeFrom="paragraph">
                  <wp:posOffset>1725295</wp:posOffset>
                </wp:positionV>
                <wp:extent cx="7793355" cy="3341370"/>
                <wp:effectExtent l="5715" t="10795" r="11430" b="10160"/>
                <wp:wrapNone/>
                <wp:docPr id="2" name="Text Box 65" descr="ooxWord://word/media/image1.bmp"/>
                <wp:cNvGraphicFramePr/>
                <a:graphic xmlns:a="http://schemas.openxmlformats.org/drawingml/2006/main">
                  <a:graphicData uri="http://schemas.microsoft.com/office/word/2010/wordprocessingShape">
                    <wps:wsp>
                      <wps:cNvSpPr txBox="1">
                        <a:spLocks noChangeArrowheads="1"/>
                      </wps:cNvSpPr>
                      <wps:spPr bwMode="auto">
                        <a:xfrm>
                          <a:off x="0" y="0"/>
                          <a:ext cx="7793355" cy="3341370"/>
                        </a:xfrm>
                        <a:prstGeom prst="rect">
                          <a:avLst/>
                        </a:prstGeom>
                        <a:solidFill>
                          <a:srgbClr val="FFD966"/>
                        </a:solidFill>
                        <a:ln w="6350">
                          <a:solidFill>
                            <a:srgbClr val="FFD966"/>
                          </a:solidFill>
                          <a:round/>
                        </a:ln>
                      </wps:spPr>
                      <wps:txbx>
                        <w:txbxContent>
                          <w:p>
                            <w:pPr>
                              <w:widowControl/>
                              <w:jc w:val="center"/>
                              <w:rPr>
                                <w:rFonts w:ascii="黑体" w:hAnsi="黑体" w:eastAsia="黑体" w:cs="黑体"/>
                                <w:color w:val="000000"/>
                                <w:sz w:val="90"/>
                                <w:szCs w:val="90"/>
                              </w:rPr>
                            </w:pPr>
                            <w:r>
                              <w:rPr>
                                <w:rFonts w:hint="eastAsia" w:ascii="黑体" w:hAnsi="黑体" w:eastAsia="黑体" w:cs="黑体"/>
                                <w:color w:val="000000"/>
                                <w:sz w:val="90"/>
                                <w:szCs w:val="90"/>
                              </w:rPr>
                              <w:t>第四部分</w:t>
                            </w:r>
                            <w:r>
                              <w:rPr>
                                <w:rFonts w:ascii="黑体" w:hAnsi="黑体" w:eastAsia="黑体" w:cs="黑体"/>
                                <w:color w:val="000000"/>
                                <w:sz w:val="90"/>
                                <w:szCs w:val="90"/>
                              </w:rPr>
                              <w:t xml:space="preserve"> </w:t>
                            </w:r>
                          </w:p>
                          <w:p>
                            <w:pPr>
                              <w:widowControl/>
                              <w:jc w:val="center"/>
                            </w:pPr>
                            <w:r>
                              <w:rPr>
                                <w:rFonts w:ascii="黑体" w:hAnsi="黑体" w:eastAsia="黑体" w:cs="黑体"/>
                                <w:color w:val="000000"/>
                                <w:sz w:val="90"/>
                                <w:szCs w:val="90"/>
                              </w:rPr>
                              <w:t>2019</w:t>
                            </w:r>
                            <w:r>
                              <w:rPr>
                                <w:rFonts w:hint="eastAsia" w:ascii="黑体" w:hAnsi="黑体" w:eastAsia="黑体" w:cs="黑体"/>
                                <w:color w:val="000000"/>
                                <w:sz w:val="90"/>
                                <w:szCs w:val="90"/>
                              </w:rPr>
                              <w:t>年度部门决算报表</w:t>
                            </w:r>
                          </w:p>
                        </w:txbxContent>
                      </wps:txbx>
                      <wps:bodyPr rot="0" vert="horz" wrap="square" lIns="91440" tIns="45720" rIns="91440" bIns="45720" anchor="ctr" anchorCtr="0" upright="1">
                        <a:noAutofit/>
                      </wps:bodyPr>
                    </wps:wsp>
                  </a:graphicData>
                </a:graphic>
              </wp:anchor>
            </w:drawing>
          </mc:Choice>
          <mc:Fallback>
            <w:pict>
              <v:shape id="Text Box 65" o:spid="_x0000_s1026" o:spt="202" alt="ooxWord://word/media/image1.bmp" type="#_x0000_t202" style="position:absolute;left:0pt;margin-left:-82.05pt;margin-top:135.85pt;height:263.1pt;width:613.65pt;z-index:-251657216;v-text-anchor:middle;mso-width-relative:page;mso-height-relative:page;" fillcolor="#FFD966" filled="t" stroked="t" coordsize="21600,21600" o:gfxdata="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AOlWJbZAAAADQEAAA8AAAAAAAAAAQAg&#10;AAAAIgAAAGRycy9kb3ducmV2LnhtbFBLAQIUABQAAAAIAIdO4kBnHbVnRgIAAKUEAAAOAAAAAAAA&#10;AAEAIAAAACgBAABkcnMvZTJvRG9jLnhtbFBLBQYAAAAABgAGAFkBAADgBQAAAAA=&#10;">
                <v:fill on="t" focussize="0,0"/>
                <v:stroke weight="0.5pt" color="#FFD966" joinstyle="round"/>
                <v:imagedata o:title=""/>
                <o:lock v:ext="edit" aspectratio="f"/>
                <v:textbox>
                  <w:txbxContent>
                    <w:p>
                      <w:pPr>
                        <w:widowControl/>
                        <w:jc w:val="center"/>
                        <w:rPr>
                          <w:rFonts w:ascii="黑体" w:hAnsi="黑体" w:eastAsia="黑体" w:cs="黑体"/>
                          <w:color w:val="000000"/>
                          <w:sz w:val="90"/>
                          <w:szCs w:val="90"/>
                        </w:rPr>
                      </w:pPr>
                      <w:r>
                        <w:rPr>
                          <w:rFonts w:hint="eastAsia" w:ascii="黑体" w:hAnsi="黑体" w:eastAsia="黑体" w:cs="黑体"/>
                          <w:color w:val="000000"/>
                          <w:sz w:val="90"/>
                          <w:szCs w:val="90"/>
                        </w:rPr>
                        <w:t>第四部分</w:t>
                      </w:r>
                      <w:r>
                        <w:rPr>
                          <w:rFonts w:ascii="黑体" w:hAnsi="黑体" w:eastAsia="黑体" w:cs="黑体"/>
                          <w:color w:val="000000"/>
                          <w:sz w:val="90"/>
                          <w:szCs w:val="90"/>
                        </w:rPr>
                        <w:t xml:space="preserve"> </w:t>
                      </w:r>
                    </w:p>
                    <w:p>
                      <w:pPr>
                        <w:widowControl/>
                        <w:jc w:val="center"/>
                      </w:pPr>
                      <w:r>
                        <w:rPr>
                          <w:rFonts w:ascii="黑体" w:hAnsi="黑体" w:eastAsia="黑体" w:cs="黑体"/>
                          <w:color w:val="000000"/>
                          <w:sz w:val="90"/>
                          <w:szCs w:val="90"/>
                        </w:rPr>
                        <w:t>2019</w:t>
                      </w:r>
                      <w:r>
                        <w:rPr>
                          <w:rFonts w:hint="eastAsia" w:ascii="黑体" w:hAnsi="黑体" w:eastAsia="黑体" w:cs="黑体"/>
                          <w:color w:val="000000"/>
                          <w:sz w:val="90"/>
                          <w:szCs w:val="90"/>
                        </w:rPr>
                        <w:t>年度部门决算报表</w:t>
                      </w:r>
                    </w:p>
                  </w:txbxContent>
                </v:textbox>
              </v:shape>
            </w:pict>
          </mc:Fallback>
        </mc:AlternateContent>
      </w:r>
    </w:p>
    <w:p>
      <w:pPr>
        <w:widowControl/>
        <w:spacing w:line="580" w:lineRule="exact"/>
        <w:ind w:left="640" w:firstLine="640" w:firstLineChars="200"/>
        <w:rPr>
          <w:rFonts w:eastAsia="仿宋_GB2312"/>
          <w:sz w:val="32"/>
          <w:szCs w:val="32"/>
        </w:rPr>
      </w:pPr>
      <w:r>
        <w:rPr>
          <w:rFonts w:hint="eastAsia" w:eastAsia="仿宋_GB2312"/>
          <w:sz w:val="32"/>
          <w:szCs w:val="32"/>
        </w:rPr>
        <w:t>一、收入支出决算总表</w:t>
      </w:r>
    </w:p>
    <w:p>
      <w:pPr>
        <w:widowControl/>
        <w:spacing w:line="580" w:lineRule="exact"/>
        <w:ind w:left="640" w:firstLine="640" w:firstLineChars="200"/>
        <w:rPr>
          <w:rFonts w:eastAsia="仿宋_GB2312"/>
          <w:sz w:val="32"/>
          <w:szCs w:val="32"/>
        </w:rPr>
      </w:pPr>
      <w:r>
        <w:rPr>
          <w:rFonts w:hint="eastAsia" w:eastAsia="仿宋_GB2312"/>
          <w:sz w:val="32"/>
          <w:szCs w:val="32"/>
        </w:rPr>
        <w:t>二、收入决算表</w:t>
      </w:r>
    </w:p>
    <w:p>
      <w:pPr>
        <w:widowControl/>
        <w:spacing w:line="580" w:lineRule="exact"/>
        <w:ind w:left="640" w:firstLine="640" w:firstLineChars="200"/>
        <w:rPr>
          <w:rFonts w:eastAsia="仿宋_GB2312"/>
          <w:sz w:val="32"/>
          <w:szCs w:val="32"/>
        </w:rPr>
      </w:pPr>
      <w:r>
        <w:rPr>
          <w:rFonts w:hint="eastAsia" w:eastAsia="仿宋_GB2312"/>
          <w:sz w:val="32"/>
          <w:szCs w:val="32"/>
        </w:rPr>
        <w:t>三、支出决算表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四、财政拨款收入支出决算总表</w:t>
      </w:r>
    </w:p>
    <w:p>
      <w:pPr>
        <w:widowControl/>
        <w:spacing w:line="580" w:lineRule="exact"/>
        <w:ind w:left="640" w:firstLine="640" w:firstLineChars="200"/>
        <w:rPr>
          <w:rFonts w:eastAsia="仿宋_GB2312"/>
          <w:sz w:val="32"/>
          <w:szCs w:val="32"/>
        </w:rPr>
      </w:pPr>
      <w:r>
        <w:rPr>
          <w:rFonts w:hint="eastAsia" w:eastAsia="仿宋_GB2312"/>
          <w:sz w:val="32"/>
          <w:szCs w:val="32"/>
        </w:rPr>
        <w:t>五、一般公共预算财政拨款支出决算表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六、一般公共预算财政拨款基本支出决算表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七、一般公共预算财政拨款</w:t>
      </w:r>
      <w:r>
        <w:rPr>
          <w:rFonts w:eastAsia="仿宋_GB2312"/>
          <w:sz w:val="32"/>
          <w:szCs w:val="32"/>
        </w:rPr>
        <w:t>“</w:t>
      </w:r>
      <w:r>
        <w:rPr>
          <w:rFonts w:hint="eastAsia" w:eastAsia="仿宋_GB2312"/>
          <w:sz w:val="32"/>
          <w:szCs w:val="32"/>
        </w:rPr>
        <w:t>三公</w:t>
      </w:r>
      <w:r>
        <w:rPr>
          <w:rFonts w:eastAsia="仿宋_GB2312"/>
          <w:sz w:val="32"/>
          <w:szCs w:val="32"/>
        </w:rPr>
        <w:t>”</w:t>
      </w:r>
      <w:r>
        <w:rPr>
          <w:rFonts w:hint="eastAsia" w:eastAsia="仿宋_GB2312"/>
          <w:sz w:val="32"/>
          <w:szCs w:val="32"/>
        </w:rPr>
        <w:t>经费支出决算表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八、政府性基金预算财政拨款收入支出决算表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九、国有资本经营预算财政拨款支出决算表</w:t>
      </w:r>
    </w:p>
    <w:p>
      <w:pPr>
        <w:widowControl/>
        <w:spacing w:line="580" w:lineRule="exact"/>
        <w:ind w:left="640" w:firstLine="640" w:firstLineChars="200"/>
        <w:rPr>
          <w:rFonts w:eastAsia="黑体"/>
          <w:sz w:val="32"/>
          <w:szCs w:val="32"/>
        </w:rPr>
      </w:pPr>
    </w:p>
    <w:p>
      <w:pPr>
        <w:widowControl/>
        <w:spacing w:line="580" w:lineRule="exact"/>
        <w:ind w:left="640" w:firstLine="640" w:firstLineChars="200"/>
        <w:jc w:val="center"/>
        <w:rPr>
          <w:rFonts w:hint="eastAsia" w:eastAsia="仿宋_GB2312"/>
          <w:sz w:val="32"/>
          <w:szCs w:val="32"/>
          <w:lang w:eastAsia="zh-CN"/>
        </w:rPr>
      </w:pPr>
      <w:r>
        <w:rPr>
          <w:rFonts w:hint="eastAsia" w:eastAsia="仿宋_GB2312"/>
          <w:sz w:val="32"/>
          <w:szCs w:val="32"/>
          <w:lang w:eastAsia="zh-CN"/>
        </w:rPr>
        <w:t>详见附表</w:t>
      </w:r>
    </w:p>
    <w:p>
      <w:pPr>
        <w:jc w:val="left"/>
      </w:pPr>
      <w:bookmarkStart w:id="0" w:name="_GoBack"/>
      <w:bookmarkEnd w:id="0"/>
    </w:p>
    <w:p>
      <w:r>
        <w:br w:type="page"/>
      </w:r>
    </w:p>
    <w:p>
      <w:r>
        <w:rPr>
          <w:rFonts w:hint="eastAsia"/>
        </w:rPr>
        <w:t>：</w:t>
      </w:r>
    </w:p>
    <w:p>
      <w:r>
        <mc:AlternateContent>
          <mc:Choice Requires="wps">
            <w:drawing>
              <wp:anchor distT="0" distB="0" distL="114300" distR="114300" simplePos="0" relativeHeight="251668480" behindDoc="0" locked="0" layoutInCell="1" allowOverlap="1">
                <wp:simplePos x="0" y="0"/>
                <wp:positionH relativeFrom="column">
                  <wp:posOffset>-895350</wp:posOffset>
                </wp:positionH>
                <wp:positionV relativeFrom="paragraph">
                  <wp:posOffset>-1082675</wp:posOffset>
                </wp:positionV>
                <wp:extent cx="7557770" cy="10682605"/>
                <wp:effectExtent l="0" t="3175" r="0" b="1270"/>
                <wp:wrapNone/>
                <wp:docPr id="1" name="Rectangle 81"/>
                <wp:cNvGraphicFramePr/>
                <a:graphic xmlns:a="http://schemas.openxmlformats.org/drawingml/2006/main">
                  <a:graphicData uri="http://schemas.microsoft.com/office/word/2010/wordprocessingShape">
                    <wps:wsp>
                      <wps:cNvSpPr>
                        <a:spLocks noChangeArrowheads="1"/>
                      </wps:cNvSpPr>
                      <wps:spPr bwMode="auto">
                        <a:xfrm>
                          <a:off x="0" y="0"/>
                          <a:ext cx="7557770" cy="10682605"/>
                        </a:xfrm>
                        <a:prstGeom prst="rect">
                          <a:avLst/>
                        </a:prstGeom>
                        <a:solidFill>
                          <a:srgbClr val="FFC000"/>
                        </a:solidFill>
                        <a:ln>
                          <a:noFill/>
                        </a:ln>
                      </wps:spPr>
                      <wps:bodyPr rot="0" vert="horz" wrap="square" lIns="91440" tIns="45720" rIns="91440" bIns="45720" anchor="ctr" anchorCtr="0" upright="1">
                        <a:noAutofit/>
                      </wps:bodyPr>
                    </wps:wsp>
                  </a:graphicData>
                </a:graphic>
              </wp:anchor>
            </w:drawing>
          </mc:Choice>
          <mc:Fallback>
            <w:pict>
              <v:rect id="Rectangle 81" o:spid="_x0000_s1026" o:spt="1" style="position:absolute;left:0pt;margin-left:-70.5pt;margin-top:-85.25pt;height:841.15pt;width:595.1pt;z-index:251668480;v-text-anchor:middle;mso-width-relative:page;mso-height-relative:page;" fillcolor="#FFC000" filled="t" stroked="f" coordsize="21600,21600" o:gfxdata="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Py+4e3gAAAA8B&#10;AAAPAAAAAAAAAAEAIAAAACIAAABkcnMvZG93bnJldi54bWxQSwECFAAUAAAACACHTuJAbRBRExUC&#10;AAAuBAAADgAAAAAAAAABACAAAAAtAQAAZHJzL2Uyb0RvYy54bWxQSwUGAAAAAAYABgBZAQAAtAUA&#10;AAAA&#10;">
                <v:fill on="t" focussize="0,0"/>
                <v:stroke on="f"/>
                <v:imagedata o:title=""/>
                <o:lock v:ext="edit" aspectratio="f"/>
              </v:rect>
            </w:pict>
          </mc:Fallback>
        </mc:AlternateContent>
      </w:r>
    </w:p>
    <w:sectPr>
      <w:pgSz w:w="11906" w:h="16838"/>
      <w:pgMar w:top="1701" w:right="1417" w:bottom="1281" w:left="141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Yu Gothic UI Semibold">
    <w:altName w:val="Meiryo UI"/>
    <w:panose1 w:val="020B0700000000000000"/>
    <w:charset w:val="80"/>
    <w:family w:val="swiss"/>
    <w:pitch w:val="default"/>
    <w:sig w:usb0="00000000" w:usb1="00000000" w:usb2="00000016" w:usb3="00000000" w:csb0="0002009F" w:csb1="00000000"/>
  </w:font>
  <w:font w:name="Meiryo UI">
    <w:panose1 w:val="020B0604030504040204"/>
    <w:charset w:val="80"/>
    <w:family w:val="auto"/>
    <w:pitch w:val="default"/>
    <w:sig w:usb0="E10102FF" w:usb1="EAC7FFFF" w:usb2="00010012" w:usb3="00000000" w:csb0="6002009F" w:csb1="DFD7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UnicodeMS">
    <w:altName w:val="Malgun Gothic"/>
    <w:panose1 w:val="00000000000000000000"/>
    <w:charset w:val="81"/>
    <w:family w:val="auto"/>
    <w:pitch w:val="default"/>
    <w:sig w:usb0="00000000" w:usb1="00000000" w:usb2="00000010" w:usb3="00000000" w:csb0="00080000" w:csb1="00000000"/>
  </w:font>
  <w:font w:name="Malgun Gothic">
    <w:panose1 w:val="020B0503020000020004"/>
    <w:charset w:val="81"/>
    <w:family w:val="auto"/>
    <w:pitch w:val="default"/>
    <w:sig w:usb0="900002AF" w:usb1="01D77CFB" w:usb2="00000012" w:usb3="00000000" w:csb0="00080001" w:csb1="00000000"/>
  </w:font>
  <w:font w:name="DengXian-Regular">
    <w:altName w:val="宋体"/>
    <w:panose1 w:val="00000000000000000000"/>
    <w:charset w:val="86"/>
    <w:family w:val="auto"/>
    <w:pitch w:val="default"/>
    <w:sig w:usb0="00000000" w:usb1="00000000" w:usb2="00000010" w:usb3="00000000" w:csb0="00040000" w:csb1="00000000"/>
  </w:font>
  <w:font w:name="DengXian-Bold">
    <w:altName w:val="宋体"/>
    <w:panose1 w:val="00000000000000000000"/>
    <w:charset w:val="86"/>
    <w:family w:val="auto"/>
    <w:pitch w:val="default"/>
    <w:sig w:usb0="00000000" w:usb1="00000000" w:usb2="00000010" w:usb3="00000000" w:csb0="00040000" w:csb1="00000000"/>
  </w:font>
  <w:font w:name="MS-UIGothic,Bold">
    <w:altName w:val="Malgun Gothic"/>
    <w:panose1 w:val="00000000000000000000"/>
    <w:charset w:val="81"/>
    <w:family w:val="auto"/>
    <w:pitch w:val="default"/>
    <w:sig w:usb0="00000000" w:usb1="0000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0"/>
        <w:right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0"/>
        <w:right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0"/>
        <w:right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0"/>
        <w:right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0"/>
        <w:right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A01D03"/>
    <w:multiLevelType w:val="multilevel"/>
    <w:tmpl w:val="43A01D03"/>
    <w:lvl w:ilvl="0" w:tentative="0">
      <w:start w:val="9"/>
      <w:numFmt w:val="decimal"/>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45DB9A87"/>
    <w:multiLevelType w:val="singleLevel"/>
    <w:tmpl w:val="45DB9A87"/>
    <w:lvl w:ilvl="0" w:tentative="0">
      <w:start w:val="3"/>
      <w:numFmt w:val="chineseCounting"/>
      <w:suff w:val="nothing"/>
      <w:lvlText w:val="（%1）"/>
      <w:lvlJc w:val="left"/>
      <w:rPr>
        <w:rFonts w:hint="eastAsia"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attachedTemplate r:id="rId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AF1C96"/>
    <w:rsid w:val="00013B38"/>
    <w:rsid w:val="0007063E"/>
    <w:rsid w:val="00071ADD"/>
    <w:rsid w:val="00073392"/>
    <w:rsid w:val="00073F4E"/>
    <w:rsid w:val="00086C89"/>
    <w:rsid w:val="00095FA9"/>
    <w:rsid w:val="000A39FB"/>
    <w:rsid w:val="000C7F88"/>
    <w:rsid w:val="000D3190"/>
    <w:rsid w:val="000E3650"/>
    <w:rsid w:val="00107368"/>
    <w:rsid w:val="00117746"/>
    <w:rsid w:val="00163F95"/>
    <w:rsid w:val="00174C91"/>
    <w:rsid w:val="00180A9A"/>
    <w:rsid w:val="001829C0"/>
    <w:rsid w:val="00184809"/>
    <w:rsid w:val="00192112"/>
    <w:rsid w:val="001967C4"/>
    <w:rsid w:val="00196DA8"/>
    <w:rsid w:val="001B0127"/>
    <w:rsid w:val="001C12D5"/>
    <w:rsid w:val="001C69F7"/>
    <w:rsid w:val="001D5423"/>
    <w:rsid w:val="001E45D3"/>
    <w:rsid w:val="00212CD8"/>
    <w:rsid w:val="00254CE6"/>
    <w:rsid w:val="002650EC"/>
    <w:rsid w:val="0029280A"/>
    <w:rsid w:val="002A3003"/>
    <w:rsid w:val="002A6C46"/>
    <w:rsid w:val="002C19B5"/>
    <w:rsid w:val="00345E9C"/>
    <w:rsid w:val="00371224"/>
    <w:rsid w:val="003A4EE8"/>
    <w:rsid w:val="003C1003"/>
    <w:rsid w:val="00420915"/>
    <w:rsid w:val="00430177"/>
    <w:rsid w:val="00442CC2"/>
    <w:rsid w:val="00446244"/>
    <w:rsid w:val="0046546F"/>
    <w:rsid w:val="00473C20"/>
    <w:rsid w:val="00476568"/>
    <w:rsid w:val="00477AE9"/>
    <w:rsid w:val="004824AD"/>
    <w:rsid w:val="004B5FAE"/>
    <w:rsid w:val="004D61CB"/>
    <w:rsid w:val="004E58B2"/>
    <w:rsid w:val="005011D6"/>
    <w:rsid w:val="00503F2E"/>
    <w:rsid w:val="00552226"/>
    <w:rsid w:val="00557068"/>
    <w:rsid w:val="00566120"/>
    <w:rsid w:val="00567CCB"/>
    <w:rsid w:val="005779A0"/>
    <w:rsid w:val="00582E6D"/>
    <w:rsid w:val="005954D5"/>
    <w:rsid w:val="005A53FA"/>
    <w:rsid w:val="005D1293"/>
    <w:rsid w:val="00644D5F"/>
    <w:rsid w:val="006727AD"/>
    <w:rsid w:val="00691425"/>
    <w:rsid w:val="006A516E"/>
    <w:rsid w:val="006B0830"/>
    <w:rsid w:val="006C55C0"/>
    <w:rsid w:val="006D4F3B"/>
    <w:rsid w:val="00713067"/>
    <w:rsid w:val="00716E2B"/>
    <w:rsid w:val="0072015C"/>
    <w:rsid w:val="007261AB"/>
    <w:rsid w:val="00756098"/>
    <w:rsid w:val="00770F18"/>
    <w:rsid w:val="00773B74"/>
    <w:rsid w:val="0078290C"/>
    <w:rsid w:val="007A48C4"/>
    <w:rsid w:val="007B5721"/>
    <w:rsid w:val="007C06CA"/>
    <w:rsid w:val="007D4019"/>
    <w:rsid w:val="007E510A"/>
    <w:rsid w:val="007E5716"/>
    <w:rsid w:val="008163FB"/>
    <w:rsid w:val="00820CB9"/>
    <w:rsid w:val="0082605B"/>
    <w:rsid w:val="00855C36"/>
    <w:rsid w:val="00856A6C"/>
    <w:rsid w:val="00857DBE"/>
    <w:rsid w:val="008701BC"/>
    <w:rsid w:val="00883D92"/>
    <w:rsid w:val="00886C1D"/>
    <w:rsid w:val="00897EC6"/>
    <w:rsid w:val="008A5362"/>
    <w:rsid w:val="008C5081"/>
    <w:rsid w:val="008F21F1"/>
    <w:rsid w:val="008F221B"/>
    <w:rsid w:val="008F5A2D"/>
    <w:rsid w:val="00921602"/>
    <w:rsid w:val="00957EA1"/>
    <w:rsid w:val="00966E5B"/>
    <w:rsid w:val="009B4EF0"/>
    <w:rsid w:val="009C14E3"/>
    <w:rsid w:val="009C43E0"/>
    <w:rsid w:val="009D271F"/>
    <w:rsid w:val="00A22044"/>
    <w:rsid w:val="00A4337A"/>
    <w:rsid w:val="00A4594E"/>
    <w:rsid w:val="00A929C2"/>
    <w:rsid w:val="00A9537A"/>
    <w:rsid w:val="00AD097F"/>
    <w:rsid w:val="00B844F4"/>
    <w:rsid w:val="00BA06A1"/>
    <w:rsid w:val="00BA770A"/>
    <w:rsid w:val="00BF4D15"/>
    <w:rsid w:val="00C054DE"/>
    <w:rsid w:val="00C06C42"/>
    <w:rsid w:val="00C259C2"/>
    <w:rsid w:val="00C50AFD"/>
    <w:rsid w:val="00C56F23"/>
    <w:rsid w:val="00C679A9"/>
    <w:rsid w:val="00C7541C"/>
    <w:rsid w:val="00C86405"/>
    <w:rsid w:val="00CB4333"/>
    <w:rsid w:val="00CC0FAA"/>
    <w:rsid w:val="00CD0736"/>
    <w:rsid w:val="00D1570F"/>
    <w:rsid w:val="00D2402F"/>
    <w:rsid w:val="00D32830"/>
    <w:rsid w:val="00D37870"/>
    <w:rsid w:val="00D70AB5"/>
    <w:rsid w:val="00DB7153"/>
    <w:rsid w:val="00DB7F05"/>
    <w:rsid w:val="00E028C3"/>
    <w:rsid w:val="00E14F77"/>
    <w:rsid w:val="00E3076B"/>
    <w:rsid w:val="00E36978"/>
    <w:rsid w:val="00E52F97"/>
    <w:rsid w:val="00E82A1E"/>
    <w:rsid w:val="00EC06F4"/>
    <w:rsid w:val="00EE4E36"/>
    <w:rsid w:val="00F665F4"/>
    <w:rsid w:val="00F85156"/>
    <w:rsid w:val="00FB1D00"/>
    <w:rsid w:val="00FB5120"/>
    <w:rsid w:val="00FD225F"/>
    <w:rsid w:val="07575FED"/>
    <w:rsid w:val="16123CCD"/>
    <w:rsid w:val="31C2036A"/>
    <w:rsid w:val="320D02A5"/>
    <w:rsid w:val="348E566F"/>
    <w:rsid w:val="373725C9"/>
    <w:rsid w:val="3A226944"/>
    <w:rsid w:val="3AEE6A48"/>
    <w:rsid w:val="3C1620AA"/>
    <w:rsid w:val="3D8F080F"/>
    <w:rsid w:val="428642F2"/>
    <w:rsid w:val="429166A2"/>
    <w:rsid w:val="44CE1FA4"/>
    <w:rsid w:val="487F73ED"/>
    <w:rsid w:val="4A347EAE"/>
    <w:rsid w:val="4CF734F2"/>
    <w:rsid w:val="4D490819"/>
    <w:rsid w:val="52600405"/>
    <w:rsid w:val="529B4319"/>
    <w:rsid w:val="57773DD6"/>
    <w:rsid w:val="578B79AB"/>
    <w:rsid w:val="5CCD3FD5"/>
    <w:rsid w:val="610F36AE"/>
    <w:rsid w:val="61FA5F9D"/>
    <w:rsid w:val="64CD6910"/>
    <w:rsid w:val="6789158D"/>
    <w:rsid w:val="67D81BA4"/>
    <w:rsid w:val="69C75EAF"/>
    <w:rsid w:val="6AAF1C96"/>
    <w:rsid w:val="6E953E6D"/>
    <w:rsid w:val="6EF81486"/>
    <w:rsid w:val="75681757"/>
    <w:rsid w:val="75A346A8"/>
    <w:rsid w:val="76074FC6"/>
    <w:rsid w:val="78A20504"/>
    <w:rsid w:val="79B9382C"/>
    <w:rsid w:val="7B043B76"/>
    <w:rsid w:val="7C041A6A"/>
    <w:rsid w:val="7C047D98"/>
    <w:rsid w:val="7D195465"/>
    <w:rsid w:val="7D665D8D"/>
    <w:rsid w:val="7E32757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mbria" w:hAnsi="Cambria" w:eastAsia="黑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1"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paragraph" w:styleId="2">
    <w:name w:val="heading 1"/>
    <w:basedOn w:val="1"/>
    <w:next w:val="1"/>
    <w:link w:val="10"/>
    <w:qFormat/>
    <w:uiPriority w:val="99"/>
    <w:pPr>
      <w:keepNext/>
      <w:keepLines/>
      <w:spacing w:before="340" w:after="330" w:line="578" w:lineRule="auto"/>
      <w:outlineLvl w:val="0"/>
    </w:pPr>
    <w:rPr>
      <w:b/>
      <w:bCs/>
      <w:kern w:val="44"/>
      <w:sz w:val="44"/>
      <w:szCs w:val="44"/>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3">
    <w:name w:val="Body Text"/>
    <w:basedOn w:val="1"/>
    <w:link w:val="11"/>
    <w:qFormat/>
    <w:uiPriority w:val="99"/>
    <w:rPr>
      <w:rFonts w:ascii="仿宋_GB2312" w:hAnsi="仿宋_GB2312" w:eastAsia="仿宋_GB2312" w:cs="仿宋_GB2312"/>
      <w:sz w:val="32"/>
      <w:szCs w:val="32"/>
      <w:lang w:val="zh-CN"/>
    </w:rPr>
  </w:style>
  <w:style w:type="paragraph" w:styleId="4">
    <w:name w:val="Balloon Text"/>
    <w:basedOn w:val="1"/>
    <w:link w:val="15"/>
    <w:semiHidden/>
    <w:unhideWhenUsed/>
    <w:qFormat/>
    <w:uiPriority w:val="99"/>
    <w:rPr>
      <w:sz w:val="18"/>
      <w:szCs w:val="18"/>
    </w:rPr>
  </w:style>
  <w:style w:type="paragraph" w:styleId="5">
    <w:name w:val="footer"/>
    <w:basedOn w:val="1"/>
    <w:link w:val="12"/>
    <w:qFormat/>
    <w:uiPriority w:val="99"/>
    <w:pPr>
      <w:tabs>
        <w:tab w:val="center" w:pos="4153"/>
        <w:tab w:val="right" w:pos="8306"/>
      </w:tabs>
      <w:snapToGrid w:val="0"/>
      <w:jc w:val="left"/>
    </w:pPr>
    <w:rPr>
      <w:sz w:val="18"/>
      <w:szCs w:val="18"/>
    </w:rPr>
  </w:style>
  <w:style w:type="paragraph" w:styleId="6">
    <w:name w:val="header"/>
    <w:basedOn w:val="1"/>
    <w:link w:val="13"/>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table" w:styleId="8">
    <w:name w:val="Table Grid"/>
    <w:basedOn w:val="7"/>
    <w:qFormat/>
    <w:uiPriority w:val="1"/>
    <w:rPr>
      <w:kern w:val="0"/>
      <w:sz w:val="22"/>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0">
    <w:name w:val="标题 1 Char"/>
    <w:basedOn w:val="9"/>
    <w:link w:val="2"/>
    <w:qFormat/>
    <w:uiPriority w:val="9"/>
    <w:rPr>
      <w:rFonts w:ascii="等线" w:hAnsi="等线" w:eastAsia="等线"/>
      <w:b/>
      <w:bCs/>
      <w:kern w:val="44"/>
      <w:sz w:val="44"/>
      <w:szCs w:val="44"/>
    </w:rPr>
  </w:style>
  <w:style w:type="character" w:customStyle="1" w:styleId="11">
    <w:name w:val="正文文本 Char"/>
    <w:basedOn w:val="9"/>
    <w:link w:val="3"/>
    <w:semiHidden/>
    <w:qFormat/>
    <w:uiPriority w:val="99"/>
    <w:rPr>
      <w:rFonts w:ascii="等线" w:hAnsi="等线" w:eastAsia="等线"/>
    </w:rPr>
  </w:style>
  <w:style w:type="character" w:customStyle="1" w:styleId="12">
    <w:name w:val="页脚 Char"/>
    <w:basedOn w:val="9"/>
    <w:link w:val="5"/>
    <w:qFormat/>
    <w:locked/>
    <w:uiPriority w:val="99"/>
    <w:rPr>
      <w:rFonts w:cs="Times New Roman"/>
      <w:sz w:val="18"/>
      <w:szCs w:val="18"/>
    </w:rPr>
  </w:style>
  <w:style w:type="character" w:customStyle="1" w:styleId="13">
    <w:name w:val="页眉 Char"/>
    <w:basedOn w:val="9"/>
    <w:link w:val="6"/>
    <w:qFormat/>
    <w:locked/>
    <w:uiPriority w:val="99"/>
    <w:rPr>
      <w:rFonts w:ascii="等线" w:hAnsi="等线" w:eastAsia="等线" w:cs="Times New Roman"/>
      <w:sz w:val="18"/>
      <w:szCs w:val="18"/>
    </w:rPr>
  </w:style>
  <w:style w:type="paragraph" w:customStyle="1" w:styleId="14">
    <w:name w:val="列出段落1"/>
    <w:basedOn w:val="1"/>
    <w:qFormat/>
    <w:uiPriority w:val="99"/>
    <w:pPr>
      <w:spacing w:before="2"/>
      <w:ind w:left="119" w:right="434" w:firstLine="643"/>
    </w:pPr>
    <w:rPr>
      <w:rFonts w:ascii="仿宋_GB2312" w:hAnsi="仿宋_GB2312" w:eastAsia="仿宋_GB2312" w:cs="仿宋_GB2312"/>
      <w:lang w:val="zh-CN"/>
    </w:rPr>
  </w:style>
  <w:style w:type="character" w:customStyle="1" w:styleId="15">
    <w:name w:val="批注框文本 Char"/>
    <w:basedOn w:val="9"/>
    <w:link w:val="4"/>
    <w:semiHidden/>
    <w:qFormat/>
    <w:uiPriority w:val="99"/>
    <w:rPr>
      <w:rFonts w:ascii="等线" w:hAnsi="等线" w:eastAsia="等线"/>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chart" Target="charts/chart3.xml"/><Relationship Id="rId16" Type="http://schemas.openxmlformats.org/officeDocument/2006/relationships/chart" Target="charts/chart2.xml"/><Relationship Id="rId15" Type="http://schemas.openxmlformats.org/officeDocument/2006/relationships/chart" Target="charts/chart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header" Target="header7.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mingxin\AppData\Roaming\kingsoft\office6\templates\download\5185bd05-a416-9a0b-b3d5-d2d8db942b83\&#31616;&#32422;&#25991;&#26723;&#23553;&#38754;&#27169;&#26495;.doc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2019&#20915;&#31639;&#20844;&#24320;&#36164;&#26009;\&#39034;&#24179;&#21439;&#36130;&#25919;&#23616;.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Administrator\AppData\Roaming\kingsoft\office6\backup\&#39034;&#24179;&#21439;&#36130;&#25919;&#23616;&#26412;&#32423;.xls.3529DC62FB5A5BC6C192598A66101CDE.20200218170431715.et"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Administrator\Desktop\2019&#20915;&#31639;&#20844;&#24320;&#36164;&#26009;\&#39034;&#24179;&#21439;&#36130;&#25919;&#23616;.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lang="zh-CN" altLang="en-US"/>
              <a:t>本年支出</a:t>
            </a:r>
            <a:endParaRPr lang="zh-CN" altLang="en-US"/>
          </a:p>
        </c:rich>
      </c:tx>
      <c:layout>
        <c:manualLayout>
          <c:xMode val="edge"/>
          <c:yMode val="edge"/>
          <c:x val="0.327021040974529"/>
          <c:y val="0.0378071833648393"/>
        </c:manualLayout>
      </c:layout>
      <c:overlay val="0"/>
      <c:spPr>
        <a:noFill/>
        <a:ln>
          <a:noFill/>
        </a:ln>
        <a:effectLst/>
      </c:spPr>
    </c:title>
    <c:autoTitleDeleted val="0"/>
    <c:plotArea>
      <c:layout/>
      <c:pieChart>
        <c:varyColors val="1"/>
        <c:ser>
          <c:idx val="0"/>
          <c:order val="0"/>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1"/>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'[顺平县财政局.XLS]Z04 支出决算表(公开03表)'!$M$18:$N$18</c:f>
              <c:strCache>
                <c:ptCount val="2"/>
                <c:pt idx="0">
                  <c:v>基本支出</c:v>
                </c:pt>
                <c:pt idx="1">
                  <c:v>项目支出</c:v>
                </c:pt>
              </c:strCache>
            </c:strRef>
          </c:cat>
          <c:val>
            <c:numRef>
              <c:f>'[顺平县财政局.XLS]Z04 支出决算表(公开03表)'!$M$19:$N$19</c:f>
              <c:numCache>
                <c:formatCode>General</c:formatCode>
                <c:ptCount val="2"/>
                <c:pt idx="0">
                  <c:v>878.44</c:v>
                </c:pt>
                <c:pt idx="1">
                  <c:v>2054.21</c:v>
                </c:pt>
              </c:numCache>
            </c:numRef>
          </c:val>
        </c:ser>
        <c:dLbls>
          <c:showLegendKey val="0"/>
          <c:showVal val="1"/>
          <c:showCatName val="1"/>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lang="zh-CN" altLang="en-US"/>
              <a:t>收入支出对比情况表</a:t>
            </a:r>
            <a:endParaRPr lang="zh-CN" altLang="en-US"/>
          </a:p>
        </c:rich>
      </c:tx>
      <c:layout/>
      <c:overlay val="0"/>
      <c:spPr>
        <a:noFill/>
        <a:ln>
          <a:noFill/>
        </a:ln>
        <a:effectLst/>
      </c:spPr>
    </c:title>
    <c:autoTitleDeleted val="0"/>
    <c:plotArea>
      <c:layout/>
      <c:lineChart>
        <c:grouping val="stacked"/>
        <c:varyColors val="0"/>
        <c:ser>
          <c:idx val="0"/>
          <c:order val="0"/>
          <c:tx>
            <c:strRef>
              <c:f>'[顺平县财政局本级.xls.3529DC62FB5A5BC6C192598A66101CDE.20200218170431715.et]Z01 收入支出决算总表(财决01表)'!$T$20</c:f>
              <c:strCache>
                <c:ptCount val="1"/>
                <c:pt idx="0">
                  <c:v>2018年</c:v>
                </c:pt>
              </c:strCache>
            </c:strRef>
          </c:tx>
          <c:spPr>
            <a:ln w="28575" cap="rnd" cmpd="sng" algn="ctr">
              <a:solidFill>
                <a:schemeClr val="accent1"/>
              </a:solidFill>
              <a:prstDash val="solid"/>
              <a:round/>
            </a:ln>
            <a:effectLst/>
          </c:spPr>
          <c:marker>
            <c:symbol val="circle"/>
            <c:size val="5"/>
            <c:spPr>
              <a:solidFill>
                <a:schemeClr val="accent1"/>
              </a:solidFill>
              <a:ln w="9525" cap="flat" cmpd="sng" algn="ctr">
                <a:solidFill>
                  <a:schemeClr val="accent1"/>
                </a:solidFill>
                <a:prstDash val="solid"/>
                <a:round/>
              </a:ln>
              <a:effectLst/>
            </c:spPr>
          </c:marker>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t"/>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'[顺平县财政局本级.xls.3529DC62FB5A5BC6C192598A66101CDE.20200218170431715.et]Z01 收入支出决算总表(财决01表)'!$S$21:$S$28</c:f>
              <c:strCache>
                <c:ptCount val="8"/>
                <c:pt idx="0">
                  <c:v>本年度收入</c:v>
                </c:pt>
                <c:pt idx="1">
                  <c:v>一般公共预算拨款收入</c:v>
                </c:pt>
                <c:pt idx="2">
                  <c:v>政府性基金拨款收入</c:v>
                </c:pt>
                <c:pt idx="4">
                  <c:v>本年度支出</c:v>
                </c:pt>
                <c:pt idx="5">
                  <c:v>人员支出</c:v>
                </c:pt>
                <c:pt idx="6">
                  <c:v>日常支出</c:v>
                </c:pt>
                <c:pt idx="7">
                  <c:v>项目支出</c:v>
                </c:pt>
              </c:strCache>
            </c:strRef>
          </c:cat>
          <c:val>
            <c:numRef>
              <c:f>'[顺平县财政局本级.xls.3529DC62FB5A5BC6C192598A66101CDE.20200218170431715.et]Z01 收入支出决算总表(财决01表)'!$T$21:$T$28</c:f>
              <c:numCache>
                <c:formatCode>General</c:formatCode>
                <c:ptCount val="8"/>
                <c:pt idx="0">
                  <c:v>1805.19</c:v>
                </c:pt>
                <c:pt idx="1">
                  <c:v>1671.02</c:v>
                </c:pt>
                <c:pt idx="2">
                  <c:v>134.17</c:v>
                </c:pt>
                <c:pt idx="4">
                  <c:v>1394.29</c:v>
                </c:pt>
                <c:pt idx="5">
                  <c:v>692.49</c:v>
                </c:pt>
                <c:pt idx="6">
                  <c:v>40.18</c:v>
                </c:pt>
                <c:pt idx="7">
                  <c:v>661.62</c:v>
                </c:pt>
              </c:numCache>
            </c:numRef>
          </c:val>
          <c:smooth val="0"/>
        </c:ser>
        <c:ser>
          <c:idx val="1"/>
          <c:order val="1"/>
          <c:tx>
            <c:strRef>
              <c:f>'[顺平县财政局本级.xls.3529DC62FB5A5BC6C192598A66101CDE.20200218170431715.et]Z01 收入支出决算总表(财决01表)'!$U$20</c:f>
              <c:strCache>
                <c:ptCount val="1"/>
                <c:pt idx="0">
                  <c:v>2019年</c:v>
                </c:pt>
              </c:strCache>
            </c:strRef>
          </c:tx>
          <c:spPr>
            <a:ln w="28575" cap="rnd" cmpd="sng" algn="ctr">
              <a:solidFill>
                <a:schemeClr val="accent2"/>
              </a:solidFill>
              <a:prstDash val="solid"/>
              <a:round/>
            </a:ln>
            <a:effectLst/>
          </c:spPr>
          <c:marker>
            <c:symbol val="circle"/>
            <c:size val="5"/>
            <c:spPr>
              <a:solidFill>
                <a:schemeClr val="accent2"/>
              </a:solidFill>
              <a:ln w="9525" cap="flat" cmpd="sng" algn="ctr">
                <a:solidFill>
                  <a:schemeClr val="accent2"/>
                </a:solidFill>
                <a:prstDash val="solid"/>
                <a:round/>
              </a:ln>
              <a:effectLst/>
            </c:spPr>
          </c:marker>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t"/>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'[顺平县财政局本级.xls.3529DC62FB5A5BC6C192598A66101CDE.20200218170431715.et]Z01 收入支出决算总表(财决01表)'!$S$21:$S$28</c:f>
              <c:strCache>
                <c:ptCount val="8"/>
                <c:pt idx="0">
                  <c:v>本年度收入</c:v>
                </c:pt>
                <c:pt idx="1">
                  <c:v>一般公共预算拨款收入</c:v>
                </c:pt>
                <c:pt idx="2">
                  <c:v>政府性基金拨款收入</c:v>
                </c:pt>
                <c:pt idx="4">
                  <c:v>本年度支出</c:v>
                </c:pt>
                <c:pt idx="5">
                  <c:v>人员支出</c:v>
                </c:pt>
                <c:pt idx="6">
                  <c:v>日常支出</c:v>
                </c:pt>
                <c:pt idx="7">
                  <c:v>项目支出</c:v>
                </c:pt>
              </c:strCache>
            </c:strRef>
          </c:cat>
          <c:val>
            <c:numRef>
              <c:f>'[顺平县财政局本级.xls.3529DC62FB5A5BC6C192598A66101CDE.20200218170431715.et]Z01 收入支出决算总表(财决01表)'!$U$21:$U$28</c:f>
              <c:numCache>
                <c:formatCode>General</c:formatCode>
                <c:ptCount val="8"/>
                <c:pt idx="0">
                  <c:v>2934.74</c:v>
                </c:pt>
                <c:pt idx="1">
                  <c:v>2448.19</c:v>
                </c:pt>
                <c:pt idx="2">
                  <c:v>194.16</c:v>
                </c:pt>
                <c:pt idx="4">
                  <c:v>2932.65</c:v>
                </c:pt>
                <c:pt idx="5">
                  <c:v>754.84</c:v>
                </c:pt>
                <c:pt idx="6">
                  <c:v>60.34</c:v>
                </c:pt>
                <c:pt idx="7">
                  <c:v>3208.66</c:v>
                </c:pt>
              </c:numCache>
            </c:numRef>
          </c:val>
          <c:smooth val="0"/>
        </c:ser>
        <c:dLbls>
          <c:showLegendKey val="0"/>
          <c:showVal val="1"/>
          <c:showCatName val="0"/>
          <c:showSerName val="0"/>
          <c:showPercent val="0"/>
          <c:showBubbleSize val="0"/>
        </c:dLbls>
        <c:marker val="1"/>
        <c:smooth val="0"/>
        <c:axId val="402918784"/>
        <c:axId val="470536960"/>
      </c:lineChart>
      <c:catAx>
        <c:axId val="402918784"/>
        <c:scaling>
          <c:orientation val="minMax"/>
        </c:scaling>
        <c:delete val="0"/>
        <c:axPos val="b"/>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470536960"/>
        <c:crosses val="autoZero"/>
        <c:auto val="1"/>
        <c:lblAlgn val="ctr"/>
        <c:lblOffset val="100"/>
        <c:noMultiLvlLbl val="0"/>
      </c:catAx>
      <c:valAx>
        <c:axId val="470536960"/>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402918784"/>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lang="zh-CN" altLang="en-US"/>
              <a:t>财政拨款支出决算结构（按功能分类）</a:t>
            </a:r>
            <a:endParaRPr lang="zh-CN" altLang="en-US"/>
          </a:p>
        </c:rich>
      </c:tx>
      <c:layout>
        <c:manualLayout>
          <c:xMode val="edge"/>
          <c:yMode val="edge"/>
          <c:x val="0.14266851980542"/>
          <c:y val="0.0213486306138304"/>
        </c:manualLayout>
      </c:layout>
      <c:overlay val="0"/>
      <c:spPr>
        <a:noFill/>
        <a:ln>
          <a:noFill/>
        </a:ln>
        <a:effectLst/>
      </c:spPr>
    </c:title>
    <c:autoTitleDeleted val="0"/>
    <c:plotArea>
      <c:layout/>
      <c:pieChart>
        <c:varyColors val="1"/>
        <c:ser>
          <c:idx val="0"/>
          <c:order val="0"/>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Pt>
            <c:idx val="4"/>
            <c:bubble3D val="0"/>
            <c:spPr>
              <a:solidFill>
                <a:schemeClr val="accent5"/>
              </a:solidFill>
              <a:ln w="19050">
                <a:solidFill>
                  <a:schemeClr val="lt1"/>
                </a:solidFill>
              </a:ln>
              <a:effectLst/>
            </c:spPr>
          </c:dPt>
          <c:dPt>
            <c:idx val="5"/>
            <c:bubble3D val="0"/>
            <c:spPr>
              <a:solidFill>
                <a:schemeClr val="accent6"/>
              </a:solidFill>
              <a:ln w="19050">
                <a:solidFill>
                  <a:schemeClr val="lt1"/>
                </a:solidFill>
              </a:ln>
              <a:effectLst/>
            </c:spPr>
          </c:dPt>
          <c:dLbls>
            <c:dLbl>
              <c:idx val="0"/>
              <c:layout>
                <c:manualLayout>
                  <c:x val="0.0500347463516331"/>
                  <c:y val="-0.0318348446845456"/>
                </c:manualLayout>
              </c:layout>
              <c:dLblPos val="bestFit"/>
              <c:showLegendKey val="0"/>
              <c:showVal val="1"/>
              <c:showCatName val="1"/>
              <c:showSerName val="0"/>
              <c:showPercent val="1"/>
              <c:showBubbleSize val="0"/>
              <c:extLst>
                <c:ext xmlns:c15="http://schemas.microsoft.com/office/drawing/2012/chart" uri="{CE6537A1-D6FC-4f65-9D91-7224C49458BB}">
                  <c15:layout/>
                </c:ext>
              </c:extLst>
            </c:dLbl>
            <c:dLbl>
              <c:idx val="1"/>
              <c:layout>
                <c:manualLayout>
                  <c:x val="0.139680333564976"/>
                  <c:y val="-0.0549874590005788"/>
                </c:manualLayout>
              </c:layout>
              <c:dLblPos val="bestFit"/>
              <c:showLegendKey val="0"/>
              <c:showVal val="1"/>
              <c:showCatName val="1"/>
              <c:showSerName val="0"/>
              <c:showPercent val="1"/>
              <c:showBubbleSize val="0"/>
              <c:extLst>
                <c:ext xmlns:c15="http://schemas.microsoft.com/office/drawing/2012/chart" uri="{CE6537A1-D6FC-4f65-9D91-7224C49458BB}">
                  <c15:layout/>
                </c:ext>
              </c:extLst>
            </c:dLbl>
            <c:dLbl>
              <c:idx val="2"/>
              <c:layout>
                <c:manualLayout>
                  <c:x val="0.0166782487838777"/>
                  <c:y val="0.0434111518425622"/>
                </c:manualLayout>
              </c:layout>
              <c:dLblPos val="bestFit"/>
              <c:showLegendKey val="0"/>
              <c:showVal val="1"/>
              <c:showCatName val="1"/>
              <c:showSerName val="0"/>
              <c:showPercent val="1"/>
              <c:showBubbleSize val="0"/>
              <c:extLst>
                <c:ext xmlns:c15="http://schemas.microsoft.com/office/drawing/2012/chart" uri="{CE6537A1-D6FC-4f65-9D91-7224C49458BB}">
                  <c15:layout/>
                </c:ext>
              </c:extLst>
            </c:dLbl>
            <c:dLbl>
              <c:idx val="4"/>
              <c:layout>
                <c:manualLayout>
                  <c:x val="-0.114662960389159"/>
                  <c:y val="0"/>
                </c:manualLayout>
              </c:layout>
              <c:dLblPos val="bestFit"/>
              <c:showLegendKey val="0"/>
              <c:showVal val="1"/>
              <c:showCatName val="1"/>
              <c:showSerName val="0"/>
              <c:showPercent val="1"/>
              <c:showBubbleSize val="0"/>
              <c:extLst>
                <c:ext xmlns:c15="http://schemas.microsoft.com/office/drawing/2012/chart" uri="{CE6537A1-D6FC-4f65-9D91-7224C49458BB}">
                  <c15:layout/>
                </c:ext>
              </c:extLst>
            </c:dLbl>
            <c:dLbl>
              <c:idx val="5"/>
              <c:layout>
                <c:manualLayout>
                  <c:x val="0.29186935371786"/>
                  <c:y val="0.00289407678950415"/>
                </c:manualLayout>
              </c:layout>
              <c:dLblPos val="bestFit"/>
              <c:showLegendKey val="0"/>
              <c:showVal val="1"/>
              <c:showCatName val="1"/>
              <c:showSerName val="0"/>
              <c:showPercent val="1"/>
              <c:showBubbleSize val="0"/>
              <c:extLst>
                <c:ext xmlns:c15="http://schemas.microsoft.com/office/drawing/2012/chart" uri="{CE6537A1-D6FC-4f65-9D91-7224C49458BB}">
                  <c15:layout>
                    <c:manualLayout>
                      <c:w val="0.279578392621871"/>
                      <c:h val="0.0954085930918281"/>
                    </c:manualLayout>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'[顺平县财政局.XLS]Z01 收入支出决算总表(公开01表)'!$L$14:$L$19</c:f>
              <c:strCache>
                <c:ptCount val="6"/>
                <c:pt idx="0">
                  <c:v>一般公共服务支出</c:v>
                </c:pt>
                <c:pt idx="1">
                  <c:v>社会保障和就业支出</c:v>
                </c:pt>
                <c:pt idx="2">
                  <c:v>卫生健康支出</c:v>
                </c:pt>
                <c:pt idx="3">
                  <c:v>农林水支出</c:v>
                </c:pt>
                <c:pt idx="4">
                  <c:v>住房保障支出</c:v>
                </c:pt>
                <c:pt idx="5">
                  <c:v>债务付息支出</c:v>
                </c:pt>
              </c:strCache>
            </c:strRef>
          </c:cat>
          <c:val>
            <c:numRef>
              <c:f>'[顺平县财政局.XLS]Z01 收入支出决算总表(公开01表)'!$M$14:$M$19</c:f>
              <c:numCache>
                <c:formatCode>General</c:formatCode>
                <c:ptCount val="6"/>
                <c:pt idx="0">
                  <c:v>1087.38</c:v>
                </c:pt>
                <c:pt idx="1">
                  <c:v>133.51</c:v>
                </c:pt>
                <c:pt idx="2">
                  <c:v>29.5</c:v>
                </c:pt>
                <c:pt idx="3">
                  <c:v>1403.09</c:v>
                </c:pt>
                <c:pt idx="4">
                  <c:v>26.51</c:v>
                </c:pt>
                <c:pt idx="5">
                  <c:v>252.65</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manualLayout>
          <c:xMode val="edge"/>
          <c:yMode val="edge"/>
          <c:x val="0.0249619482496195"/>
          <c:y val="0.888374052232519"/>
          <c:w val="0.904870624048706"/>
          <c:h val="0.10530749789385"/>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360E112-8CFD-41CA-89D2-E8BE07DBA087}">
  <ds:schemaRefs/>
</ds:datastoreItem>
</file>

<file path=docProps/app.xml><?xml version="1.0" encoding="utf-8"?>
<Properties xmlns="http://schemas.openxmlformats.org/officeDocument/2006/extended-properties" xmlns:vt="http://schemas.openxmlformats.org/officeDocument/2006/docPropsVTypes">
  <Template>简约文档封面模板</Template>
  <Company>MS</Company>
  <Pages>38</Pages>
  <Words>2589</Words>
  <Characters>14759</Characters>
  <Lines>122</Lines>
  <Paragraphs>34</Paragraphs>
  <TotalTime>3</TotalTime>
  <ScaleCrop>false</ScaleCrop>
  <LinksUpToDate>false</LinksUpToDate>
  <CharactersWithSpaces>17314</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2021-05-08T08:32:00Z</dcterms:created>
  <dc:creator>王明新TIAD</dc:creator>
  <cp:lastModifiedBy>李子轩</cp:lastModifiedBy>
  <cp:lastPrinted>2020-07-30T02:37:00Z</cp:lastPrinted>
  <dcterms:modified xsi:type="dcterms:W3CDTF">2021-06-24T05:21:06Z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B8715A100C944F9DBF6167E112398BE7</vt:lpwstr>
  </property>
</Properties>
</file>