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0" w:after="0" w:line="240" w:lineRule="auto"/>
        <w:ind w:firstLine="0"/>
        <w:jc w:val="center"/>
        <w:outlineLvl w:val="0"/>
      </w:pPr>
      <w:r>
        <w:rPr>
          <w:rFonts w:ascii="黑体" w:hAnsi="黑体" w:eastAsia="黑体" w:cs="黑体"/>
          <w:b/>
          <w:color w:val="000000"/>
          <w:sz w:val="44"/>
        </w:rPr>
        <w:t>2025年部门预算信息公开目录</w:t>
      </w:r>
    </w:p>
    <w:p>
      <w:pPr>
        <w:spacing w:before="0" w:after="0" w:line="240" w:lineRule="auto"/>
        <w:ind w:firstLine="0"/>
        <w:jc w:val="center"/>
        <w:outlineLvl w:val="9"/>
      </w:pPr>
      <w:r>
        <w:rPr>
          <w:rFonts w:ascii="黑体" w:hAnsi="黑体" w:eastAsia="黑体" w:cs="黑体"/>
          <w:b/>
          <w:color w:val="000000"/>
          <w:sz w:val="30"/>
        </w:rPr>
        <w:t xml:space="preserve"> </w:t>
      </w:r>
    </w:p>
    <w:p>
      <w:pPr>
        <w:spacing w:before="0" w:after="0" w:line="240" w:lineRule="auto"/>
        <w:ind w:firstLine="0"/>
        <w:jc w:val="left"/>
        <w:outlineLvl w:val="9"/>
      </w:pPr>
      <w:r>
        <w:rPr>
          <w:rFonts w:ascii="方正楷体_GBK" w:hAnsi="方正楷体_GBK" w:eastAsia="方正楷体_GBK" w:cs="方正楷体_GBK"/>
          <w:b/>
          <w:color w:val="000000"/>
          <w:sz w:val="28"/>
        </w:rPr>
        <w:t>部门预算公开表</w:t>
      </w:r>
    </w:p>
    <w:p>
      <w:pPr>
        <w:pStyle w:val="3"/>
        <w:tabs>
          <w:tab w:val="right" w:leader="dot" w:pos="14562"/>
        </w:tabs>
      </w:pPr>
      <w:r>
        <w:fldChar w:fldCharType="begin"/>
      </w:r>
      <w:r>
        <w:instrText xml:space="preserve">TOC \o "2-2" \h \z \u</w:instrText>
      </w:r>
      <w:r>
        <w:fldChar w:fldCharType="separate"/>
      </w:r>
      <w:r>
        <w:fldChar w:fldCharType="begin"/>
      </w:r>
      <w:r>
        <w:instrText xml:space="preserve"> HYPERLINK \l "_Toc_2_2_0000000001" </w:instrText>
      </w:r>
      <w:r>
        <w:fldChar w:fldCharType="separate"/>
      </w:r>
      <w:r>
        <w:t>部门预算收支总表</w:t>
      </w:r>
      <w:r>
        <w:tab/>
      </w:r>
      <w:r>
        <w:fldChar w:fldCharType="begin"/>
      </w:r>
      <w:r>
        <w:instrText xml:space="preserve">PAGEREF _Toc_2_2_0000000001 \h</w:instrText>
      </w:r>
      <w:r>
        <w:fldChar w:fldCharType="separate"/>
      </w:r>
      <w:r>
        <w:t>1</w:t>
      </w:r>
      <w:r>
        <w:fldChar w:fldCharType="end"/>
      </w:r>
      <w:r>
        <w:fldChar w:fldCharType="end"/>
      </w:r>
    </w:p>
    <w:p>
      <w:pPr>
        <w:pStyle w:val="3"/>
        <w:tabs>
          <w:tab w:val="right" w:leader="dot" w:pos="14562"/>
        </w:tabs>
      </w:pPr>
      <w:r>
        <w:fldChar w:fldCharType="begin"/>
      </w:r>
      <w:r>
        <w:instrText xml:space="preserve"> HYPERLINK \l "_Toc_2_2_0000000002" </w:instrText>
      </w:r>
      <w:r>
        <w:fldChar w:fldCharType="separate"/>
      </w:r>
      <w:r>
        <w:t>部门预算收入总表</w:t>
      </w:r>
      <w:r>
        <w:tab/>
      </w:r>
      <w:r>
        <w:fldChar w:fldCharType="begin"/>
      </w:r>
      <w:r>
        <w:instrText xml:space="preserve">PAGEREF _Toc_2_2_0000000002 \h</w:instrText>
      </w:r>
      <w:r>
        <w:fldChar w:fldCharType="separate"/>
      </w:r>
      <w:r>
        <w:t>3</w:t>
      </w:r>
      <w:r>
        <w:fldChar w:fldCharType="end"/>
      </w:r>
      <w:r>
        <w:fldChar w:fldCharType="end"/>
      </w:r>
    </w:p>
    <w:p>
      <w:pPr>
        <w:pStyle w:val="3"/>
        <w:tabs>
          <w:tab w:val="right" w:leader="dot" w:pos="14562"/>
        </w:tabs>
      </w:pPr>
      <w:r>
        <w:fldChar w:fldCharType="begin"/>
      </w:r>
      <w:r>
        <w:instrText xml:space="preserve"> HYPERLINK \l "_Toc_2_2_0000000003" </w:instrText>
      </w:r>
      <w:r>
        <w:fldChar w:fldCharType="separate"/>
      </w:r>
      <w:r>
        <w:t>部门预算支出总表</w:t>
      </w:r>
      <w:r>
        <w:tab/>
      </w:r>
      <w:r>
        <w:fldChar w:fldCharType="begin"/>
      </w:r>
      <w:r>
        <w:instrText xml:space="preserve">PAGEREF _Toc_2_2_0000000003 \h</w:instrText>
      </w:r>
      <w:r>
        <w:fldChar w:fldCharType="separate"/>
      </w:r>
      <w:r>
        <w:t>5</w:t>
      </w:r>
      <w:r>
        <w:fldChar w:fldCharType="end"/>
      </w:r>
      <w:r>
        <w:fldChar w:fldCharType="end"/>
      </w:r>
    </w:p>
    <w:p>
      <w:pPr>
        <w:pStyle w:val="3"/>
        <w:tabs>
          <w:tab w:val="right" w:leader="dot" w:pos="14562"/>
        </w:tabs>
      </w:pPr>
      <w:r>
        <w:fldChar w:fldCharType="begin"/>
      </w:r>
      <w:r>
        <w:instrText xml:space="preserve"> HYPERLINK \l "_Toc_2_2_0000000004" </w:instrText>
      </w:r>
      <w:r>
        <w:fldChar w:fldCharType="separate"/>
      </w:r>
      <w:r>
        <w:t>部门预算财政拨款收支总表</w:t>
      </w:r>
      <w:r>
        <w:tab/>
      </w:r>
      <w:r>
        <w:fldChar w:fldCharType="begin"/>
      </w:r>
      <w:r>
        <w:instrText xml:space="preserve">PAGEREF _Toc_2_2_0000000004 \h</w:instrText>
      </w:r>
      <w:r>
        <w:fldChar w:fldCharType="separate"/>
      </w:r>
      <w:r>
        <w:t>6</w:t>
      </w:r>
      <w:r>
        <w:fldChar w:fldCharType="end"/>
      </w:r>
      <w:r>
        <w:fldChar w:fldCharType="end"/>
      </w:r>
    </w:p>
    <w:p>
      <w:pPr>
        <w:pStyle w:val="3"/>
        <w:tabs>
          <w:tab w:val="right" w:leader="dot" w:pos="14562"/>
        </w:tabs>
      </w:pPr>
      <w:r>
        <w:fldChar w:fldCharType="begin"/>
      </w:r>
      <w:r>
        <w:instrText xml:space="preserve"> HYPERLINK \l "_Toc_2_2_0000000005" </w:instrText>
      </w:r>
      <w:r>
        <w:fldChar w:fldCharType="separate"/>
      </w:r>
      <w:r>
        <w:t>部门预算一般公共预算财政拨款支出表</w:t>
      </w:r>
      <w:r>
        <w:tab/>
      </w:r>
      <w:r>
        <w:fldChar w:fldCharType="begin"/>
      </w:r>
      <w:r>
        <w:instrText xml:space="preserve">PAGEREF _Toc_2_2_0000000005 \h</w:instrText>
      </w:r>
      <w:r>
        <w:fldChar w:fldCharType="separate"/>
      </w:r>
      <w:r>
        <w:t>9</w:t>
      </w:r>
      <w:r>
        <w:fldChar w:fldCharType="end"/>
      </w:r>
      <w:r>
        <w:fldChar w:fldCharType="end"/>
      </w:r>
    </w:p>
    <w:p>
      <w:pPr>
        <w:pStyle w:val="3"/>
        <w:tabs>
          <w:tab w:val="right" w:leader="dot" w:pos="14562"/>
        </w:tabs>
      </w:pPr>
      <w:r>
        <w:fldChar w:fldCharType="begin"/>
      </w:r>
      <w:r>
        <w:instrText xml:space="preserve"> HYPERLINK \l "_Toc_2_2_0000000006" </w:instrText>
      </w:r>
      <w:r>
        <w:fldChar w:fldCharType="separate"/>
      </w:r>
      <w:r>
        <w:t>部门预算一般公共预算财政拨款基本支出表</w:t>
      </w:r>
      <w:r>
        <w:tab/>
      </w:r>
      <w:r>
        <w:fldChar w:fldCharType="begin"/>
      </w:r>
      <w:r>
        <w:instrText xml:space="preserve">PAGEREF _Toc_2_2_0000000006 \h</w:instrText>
      </w:r>
      <w:r>
        <w:fldChar w:fldCharType="separate"/>
      </w:r>
      <w:r>
        <w:t>10</w:t>
      </w:r>
      <w:r>
        <w:fldChar w:fldCharType="end"/>
      </w:r>
      <w:r>
        <w:fldChar w:fldCharType="end"/>
      </w:r>
    </w:p>
    <w:p>
      <w:pPr>
        <w:pStyle w:val="3"/>
        <w:tabs>
          <w:tab w:val="right" w:leader="dot" w:pos="14562"/>
        </w:tabs>
      </w:pPr>
      <w:r>
        <w:fldChar w:fldCharType="begin"/>
      </w:r>
      <w:r>
        <w:instrText xml:space="preserve"> HYPERLINK \l "_Toc_2_2_0000000007" </w:instrText>
      </w:r>
      <w:r>
        <w:fldChar w:fldCharType="separate"/>
      </w:r>
      <w:r>
        <w:t>部门预算政府性基金预算财政拨款支出表</w:t>
      </w:r>
      <w:r>
        <w:tab/>
      </w:r>
      <w:r>
        <w:fldChar w:fldCharType="begin"/>
      </w:r>
      <w:r>
        <w:instrText xml:space="preserve">PAGEREF _Toc_2_2_0000000007 \h</w:instrText>
      </w:r>
      <w:r>
        <w:fldChar w:fldCharType="separate"/>
      </w:r>
      <w:r>
        <w:t>11</w:t>
      </w:r>
      <w:r>
        <w:fldChar w:fldCharType="end"/>
      </w:r>
      <w:r>
        <w:fldChar w:fldCharType="end"/>
      </w:r>
    </w:p>
    <w:p>
      <w:pPr>
        <w:pStyle w:val="3"/>
        <w:tabs>
          <w:tab w:val="right" w:leader="dot" w:pos="14562"/>
        </w:tabs>
      </w:pPr>
      <w:r>
        <w:fldChar w:fldCharType="begin"/>
      </w:r>
      <w:r>
        <w:instrText xml:space="preserve"> HYPERLINK \l "_Toc_2_2_0000000008" </w:instrText>
      </w:r>
      <w:r>
        <w:fldChar w:fldCharType="separate"/>
      </w:r>
      <w:r>
        <w:t>部门预算国有资本经营预算财政拨款支出表</w:t>
      </w:r>
      <w:r>
        <w:tab/>
      </w:r>
      <w:r>
        <w:fldChar w:fldCharType="begin"/>
      </w:r>
      <w:r>
        <w:instrText xml:space="preserve">PAGEREF _Toc_2_2_0000000008 \h</w:instrText>
      </w:r>
      <w:r>
        <w:fldChar w:fldCharType="separate"/>
      </w:r>
      <w:r>
        <w:t>12</w:t>
      </w:r>
      <w:r>
        <w:fldChar w:fldCharType="end"/>
      </w:r>
      <w:r>
        <w:fldChar w:fldCharType="end"/>
      </w:r>
    </w:p>
    <w:p>
      <w:pPr>
        <w:pStyle w:val="3"/>
        <w:tabs>
          <w:tab w:val="right" w:leader="dot" w:pos="14562"/>
        </w:tabs>
      </w:pPr>
      <w:r>
        <w:fldChar w:fldCharType="begin"/>
      </w:r>
      <w:r>
        <w:instrText xml:space="preserve"> HYPERLINK \l "_Toc_2_2_0000000009" </w:instrText>
      </w:r>
      <w:r>
        <w:fldChar w:fldCharType="separate"/>
      </w:r>
      <w:r>
        <w:t>部门预算财政拨款“三公”经费支出表</w:t>
      </w:r>
      <w:r>
        <w:tab/>
      </w:r>
      <w:r>
        <w:fldChar w:fldCharType="begin"/>
      </w:r>
      <w:r>
        <w:instrText xml:space="preserve">PAGEREF _Toc_2_2_0000000009 \h</w:instrText>
      </w:r>
      <w:r>
        <w:fldChar w:fldCharType="separate"/>
      </w:r>
      <w:r>
        <w:t>13</w:t>
      </w:r>
      <w:r>
        <w:fldChar w:fldCharType="end"/>
      </w:r>
      <w:r>
        <w:fldChar w:fldCharType="end"/>
      </w:r>
    </w:p>
    <w:p>
      <w:r>
        <w:fldChar w:fldCharType="end"/>
      </w:r>
    </w:p>
    <w:p>
      <w:pPr>
        <w:spacing w:before="0" w:after="0" w:line="240" w:lineRule="auto"/>
        <w:ind w:firstLine="0"/>
        <w:jc w:val="left"/>
        <w:outlineLvl w:val="9"/>
      </w:pPr>
      <w:r>
        <w:rPr>
          <w:rFonts w:ascii="方正楷体_GBK" w:hAnsi="方正楷体_GBK" w:eastAsia="方正楷体_GBK" w:cs="方正楷体_GBK"/>
          <w:b/>
          <w:color w:val="000000"/>
          <w:sz w:val="28"/>
        </w:rPr>
        <w:t>部门预算信息公开情况说明</w:t>
      </w:r>
    </w:p>
    <w:p>
      <w:pPr>
        <w:pStyle w:val="3"/>
        <w:tabs>
          <w:tab w:val="right" w:leader="dot" w:pos="14562"/>
        </w:tabs>
      </w:pPr>
      <w:r>
        <w:fldChar w:fldCharType="begin"/>
      </w:r>
      <w:r>
        <w:instrText xml:space="preserve">TOC \o "3-3" \h \z \u</w:instrText>
      </w:r>
      <w:r>
        <w:fldChar w:fldCharType="separate"/>
      </w:r>
      <w:r>
        <w:fldChar w:fldCharType="begin"/>
      </w:r>
      <w:r>
        <w:instrText xml:space="preserve"> HYPERLINK \l "_Toc_3_3_0000000010" </w:instrText>
      </w:r>
      <w:r>
        <w:fldChar w:fldCharType="separate"/>
      </w:r>
      <w:r>
        <w:t>一、部门职责及机构设置情况</w:t>
      </w:r>
      <w:r>
        <w:tab/>
      </w:r>
      <w:r>
        <w:fldChar w:fldCharType="begin"/>
      </w:r>
      <w:r>
        <w:instrText xml:space="preserve">PAGEREF _Toc_3_3_0000000010 \h</w:instrText>
      </w:r>
      <w:r>
        <w:fldChar w:fldCharType="separate"/>
      </w:r>
      <w:r>
        <w:t>14</w:t>
      </w:r>
      <w:r>
        <w:fldChar w:fldCharType="end"/>
      </w:r>
      <w:r>
        <w:fldChar w:fldCharType="end"/>
      </w:r>
    </w:p>
    <w:p>
      <w:pPr>
        <w:pStyle w:val="3"/>
        <w:tabs>
          <w:tab w:val="right" w:leader="dot" w:pos="14562"/>
        </w:tabs>
      </w:pPr>
      <w:r>
        <w:fldChar w:fldCharType="begin"/>
      </w:r>
      <w:r>
        <w:instrText xml:space="preserve"> HYPERLINK \l "_Toc_3_3_0000000011" </w:instrText>
      </w:r>
      <w:r>
        <w:fldChar w:fldCharType="separate"/>
      </w:r>
      <w:r>
        <w:t>二、部门预算安排的总体情况</w:t>
      </w:r>
      <w:r>
        <w:tab/>
      </w:r>
      <w:r>
        <w:fldChar w:fldCharType="begin"/>
      </w:r>
      <w:r>
        <w:instrText xml:space="preserve">PAGEREF _Toc_3_3_0000000011 \h</w:instrText>
      </w:r>
      <w:r>
        <w:fldChar w:fldCharType="separate"/>
      </w:r>
      <w:r>
        <w:t>16</w:t>
      </w:r>
      <w:r>
        <w:fldChar w:fldCharType="end"/>
      </w:r>
      <w:r>
        <w:fldChar w:fldCharType="end"/>
      </w:r>
    </w:p>
    <w:p>
      <w:pPr>
        <w:pStyle w:val="3"/>
        <w:tabs>
          <w:tab w:val="right" w:leader="dot" w:pos="14562"/>
        </w:tabs>
      </w:pPr>
      <w:r>
        <w:fldChar w:fldCharType="begin"/>
      </w:r>
      <w:r>
        <w:instrText xml:space="preserve"> HYPERLINK \l "_Toc_3_3_0000000012" </w:instrText>
      </w:r>
      <w:r>
        <w:fldChar w:fldCharType="separate"/>
      </w:r>
      <w:r>
        <w:t>三、机关运行经费安排情况</w:t>
      </w:r>
      <w:r>
        <w:tab/>
      </w:r>
      <w:r>
        <w:fldChar w:fldCharType="begin"/>
      </w:r>
      <w:r>
        <w:instrText xml:space="preserve">PAGEREF _Toc_3_3_0000000012 \h</w:instrText>
      </w:r>
      <w:r>
        <w:fldChar w:fldCharType="separate"/>
      </w:r>
      <w:r>
        <w:t>17</w:t>
      </w:r>
      <w:r>
        <w:fldChar w:fldCharType="end"/>
      </w:r>
      <w:r>
        <w:fldChar w:fldCharType="end"/>
      </w:r>
    </w:p>
    <w:p>
      <w:pPr>
        <w:pStyle w:val="3"/>
        <w:tabs>
          <w:tab w:val="right" w:leader="dot" w:pos="14562"/>
        </w:tabs>
      </w:pPr>
      <w:r>
        <w:fldChar w:fldCharType="begin"/>
      </w:r>
      <w:r>
        <w:instrText xml:space="preserve"> HYPERLINK \l "_Toc_3_3_0000000013" </w:instrText>
      </w:r>
      <w:r>
        <w:fldChar w:fldCharType="separate"/>
      </w:r>
      <w:r>
        <w:t>四、财政拨款“三公”经费预算情况及增减变化原因</w:t>
      </w:r>
      <w:r>
        <w:tab/>
      </w:r>
      <w:r>
        <w:fldChar w:fldCharType="begin"/>
      </w:r>
      <w:r>
        <w:instrText xml:space="preserve">PAGEREF _Toc_3_3_0000000013 \h</w:instrText>
      </w:r>
      <w:r>
        <w:fldChar w:fldCharType="separate"/>
      </w:r>
      <w:r>
        <w:t>17</w:t>
      </w:r>
      <w:r>
        <w:fldChar w:fldCharType="end"/>
      </w:r>
      <w:r>
        <w:fldChar w:fldCharType="end"/>
      </w:r>
    </w:p>
    <w:p>
      <w:pPr>
        <w:pStyle w:val="3"/>
        <w:tabs>
          <w:tab w:val="right" w:leader="dot" w:pos="14562"/>
        </w:tabs>
      </w:pPr>
      <w:r>
        <w:fldChar w:fldCharType="begin"/>
      </w:r>
      <w:r>
        <w:instrText xml:space="preserve"> HYPERLINK \l "_Toc_3_3_0000000014" </w:instrText>
      </w:r>
      <w:r>
        <w:fldChar w:fldCharType="separate"/>
      </w:r>
      <w:r>
        <w:t>五、部门整体绩效目标</w:t>
      </w:r>
      <w:r>
        <w:tab/>
      </w:r>
      <w:r>
        <w:fldChar w:fldCharType="begin"/>
      </w:r>
      <w:r>
        <w:instrText xml:space="preserve">PAGEREF _Toc_3_3_0000000014 \h</w:instrText>
      </w:r>
      <w:r>
        <w:fldChar w:fldCharType="separate"/>
      </w:r>
      <w:r>
        <w:t>17</w:t>
      </w:r>
      <w:r>
        <w:fldChar w:fldCharType="end"/>
      </w:r>
      <w:r>
        <w:fldChar w:fldCharType="end"/>
      </w:r>
    </w:p>
    <w:p>
      <w:pPr>
        <w:pStyle w:val="3"/>
        <w:tabs>
          <w:tab w:val="right" w:leader="dot" w:pos="14562"/>
        </w:tabs>
      </w:pPr>
      <w:r>
        <w:fldChar w:fldCharType="begin"/>
      </w:r>
      <w:r>
        <w:instrText xml:space="preserve"> HYPERLINK \l "_Toc_3_3_0000000015" </w:instrText>
      </w:r>
      <w:r>
        <w:fldChar w:fldCharType="separate"/>
      </w:r>
      <w:r>
        <w:t>六、部门主管专项资金预算安排情况及绩效目标</w:t>
      </w:r>
      <w:r>
        <w:tab/>
      </w:r>
      <w:r>
        <w:fldChar w:fldCharType="begin"/>
      </w:r>
      <w:r>
        <w:instrText xml:space="preserve">PAGEREF _Toc_3_3_0000000015 \h</w:instrText>
      </w:r>
      <w:r>
        <w:fldChar w:fldCharType="separate"/>
      </w:r>
      <w:r>
        <w:t>20</w:t>
      </w:r>
      <w:r>
        <w:fldChar w:fldCharType="end"/>
      </w:r>
      <w:r>
        <w:fldChar w:fldCharType="end"/>
      </w:r>
    </w:p>
    <w:p>
      <w:pPr>
        <w:pStyle w:val="3"/>
        <w:tabs>
          <w:tab w:val="right" w:leader="dot" w:pos="14562"/>
        </w:tabs>
      </w:pPr>
      <w:r>
        <w:fldChar w:fldCharType="begin"/>
      </w:r>
      <w:r>
        <w:instrText xml:space="preserve"> HYPERLINK \l "_Toc_3_3_0000000016" </w:instrText>
      </w:r>
      <w:r>
        <w:fldChar w:fldCharType="separate"/>
      </w:r>
      <w:r>
        <w:t>七、部门项目预算安排情况及绩效目标</w:t>
      </w:r>
      <w:r>
        <w:tab/>
      </w:r>
      <w:r>
        <w:fldChar w:fldCharType="begin"/>
      </w:r>
      <w:r>
        <w:instrText xml:space="preserve">PAGEREF _Toc_3_3_0000000016 \h</w:instrText>
      </w:r>
      <w:r>
        <w:fldChar w:fldCharType="separate"/>
      </w:r>
      <w:r>
        <w:t>21</w:t>
      </w:r>
      <w:r>
        <w:fldChar w:fldCharType="end"/>
      </w:r>
      <w:r>
        <w:fldChar w:fldCharType="end"/>
      </w:r>
    </w:p>
    <w:p>
      <w:pPr>
        <w:pStyle w:val="3"/>
        <w:tabs>
          <w:tab w:val="right" w:leader="dot" w:pos="14562"/>
        </w:tabs>
      </w:pPr>
      <w:r>
        <w:fldChar w:fldCharType="begin"/>
      </w:r>
      <w:r>
        <w:instrText xml:space="preserve"> HYPERLINK \l "_Toc_3_3_0000000017" </w:instrText>
      </w:r>
      <w:r>
        <w:fldChar w:fldCharType="separate"/>
      </w:r>
      <w:r>
        <w:t>八、政府采购预算情况</w:t>
      </w:r>
      <w:r>
        <w:tab/>
      </w:r>
      <w:r>
        <w:fldChar w:fldCharType="begin"/>
      </w:r>
      <w:r>
        <w:instrText xml:space="preserve">PAGEREF _Toc_3_3_0000000017 \h</w:instrText>
      </w:r>
      <w:r>
        <w:fldChar w:fldCharType="separate"/>
      </w:r>
      <w:r>
        <w:t>22</w:t>
      </w:r>
      <w:r>
        <w:fldChar w:fldCharType="end"/>
      </w:r>
      <w:r>
        <w:fldChar w:fldCharType="end"/>
      </w:r>
    </w:p>
    <w:p>
      <w:pPr>
        <w:pStyle w:val="3"/>
        <w:tabs>
          <w:tab w:val="right" w:leader="dot" w:pos="14562"/>
        </w:tabs>
      </w:pPr>
      <w:r>
        <w:fldChar w:fldCharType="begin"/>
      </w:r>
      <w:r>
        <w:instrText xml:space="preserve"> HYPERLINK \l "_Toc_3_3_0000000018" </w:instrText>
      </w:r>
      <w:r>
        <w:fldChar w:fldCharType="separate"/>
      </w:r>
      <w:r>
        <w:t>九、国有资产信息</w:t>
      </w:r>
      <w:r>
        <w:tab/>
      </w:r>
      <w:r>
        <w:fldChar w:fldCharType="begin"/>
      </w:r>
      <w:r>
        <w:instrText xml:space="preserve">PAGEREF _Toc_3_3_0000000018 \h</w:instrText>
      </w:r>
      <w:r>
        <w:fldChar w:fldCharType="separate"/>
      </w:r>
      <w:r>
        <w:t>22</w:t>
      </w:r>
      <w:r>
        <w:fldChar w:fldCharType="end"/>
      </w:r>
      <w:r>
        <w:fldChar w:fldCharType="end"/>
      </w:r>
    </w:p>
    <w:p>
      <w:pPr>
        <w:pStyle w:val="3"/>
        <w:tabs>
          <w:tab w:val="right" w:leader="dot" w:pos="14562"/>
        </w:tabs>
      </w:pPr>
      <w:r>
        <w:fldChar w:fldCharType="begin"/>
      </w:r>
      <w:r>
        <w:instrText xml:space="preserve"> HYPERLINK \l "_Toc_3_3_0000000019" </w:instrText>
      </w:r>
      <w:r>
        <w:fldChar w:fldCharType="separate"/>
      </w:r>
      <w:r>
        <w:t>十、名词解释</w:t>
      </w:r>
      <w:r>
        <w:tab/>
      </w:r>
      <w:r>
        <w:fldChar w:fldCharType="begin"/>
      </w:r>
      <w:r>
        <w:instrText xml:space="preserve">PAGEREF _Toc_3_3_0000000019 \h</w:instrText>
      </w:r>
      <w:r>
        <w:fldChar w:fldCharType="separate"/>
      </w:r>
      <w:r>
        <w:t>23</w:t>
      </w:r>
      <w:r>
        <w:fldChar w:fldCharType="end"/>
      </w:r>
      <w:r>
        <w:fldChar w:fldCharType="end"/>
      </w:r>
    </w:p>
    <w:p>
      <w:pPr>
        <w:pStyle w:val="3"/>
        <w:tabs>
          <w:tab w:val="right" w:leader="dot" w:pos="14562"/>
        </w:tabs>
      </w:pPr>
      <w:r>
        <w:fldChar w:fldCharType="begin"/>
      </w:r>
      <w:r>
        <w:instrText xml:space="preserve"> HYPERLINK \l "_Toc_3_3_0000000020" </w:instrText>
      </w:r>
      <w:r>
        <w:fldChar w:fldCharType="separate"/>
      </w:r>
      <w:r>
        <w:t>十一、其他需要说明的事项</w:t>
      </w:r>
      <w:r>
        <w:tab/>
      </w:r>
      <w:r>
        <w:fldChar w:fldCharType="begin"/>
      </w:r>
      <w:r>
        <w:instrText xml:space="preserve">PAGEREF _Toc_3_3_0000000020 \h</w:instrText>
      </w:r>
      <w:r>
        <w:fldChar w:fldCharType="separate"/>
      </w:r>
      <w:r>
        <w:t>24</w:t>
      </w:r>
      <w:r>
        <w:fldChar w:fldCharType="end"/>
      </w:r>
      <w:r>
        <w:fldChar w:fldCharType="end"/>
      </w:r>
    </w:p>
    <w:p>
      <w:pPr>
        <w:sectPr>
          <w:pgSz w:w="16840" w:h="11900" w:orient="landscape"/>
          <w:pgMar w:top="1587" w:right="1134" w:bottom="1361" w:left="1134" w:header="720" w:footer="720" w:gutter="0"/>
          <w:pgNumType w:start="1"/>
          <w:cols w:space="720" w:num="1"/>
        </w:sectPr>
      </w:pPr>
      <w:r>
        <w:fldChar w:fldCharType="end"/>
      </w:r>
    </w:p>
    <w:p>
      <w:pPr>
        <w:spacing w:before="0" w:after="0" w:line="240" w:lineRule="auto"/>
        <w:ind w:firstLine="0"/>
        <w:jc w:val="center"/>
        <w:outlineLvl w:val="1"/>
      </w:pPr>
      <w:bookmarkStart w:id="0" w:name="_Toc_2_2_0000000001"/>
      <w:r>
        <w:rPr>
          <w:rFonts w:ascii="方正小标宋_GBK" w:hAnsi="方正小标宋_GBK" w:eastAsia="方正小标宋_GBK" w:cs="方正小标宋_GBK"/>
          <w:color w:val="000000"/>
          <w:sz w:val="36"/>
        </w:rPr>
        <w:t>部门预算收支总表</w:t>
      </w:r>
      <w:bookmarkEnd w:id="0"/>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pPr>
              <w:pStyle w:val="10"/>
            </w:pPr>
            <w:r>
              <w:t>224中共顺平县委网络安全和信息化委员会办公室</w:t>
            </w:r>
          </w:p>
        </w:tc>
        <w:tc>
          <w:tcPr>
            <w:tcW w:w="2126" w:type="dxa"/>
            <w:tcBorders>
              <w:top w:val="single" w:color="FFFFFF" w:sz="6" w:space="0"/>
              <w:left w:val="single" w:color="FFFFFF" w:sz="6" w:space="0"/>
              <w:right w:val="single" w:color="FFFFFF" w:sz="6" w:space="0"/>
            </w:tcBorders>
            <w:vAlign w:val="center"/>
          </w:tcPr>
          <w:p>
            <w:pPr>
              <w:pStyle w:val="9"/>
            </w:pPr>
            <w:r>
              <w:t>预算年度：2025</w:t>
            </w:r>
          </w:p>
        </w:tc>
        <w:tc>
          <w:tcPr>
            <w:tcW w:w="6661"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6661" w:type="dxa"/>
            <w:gridSpan w:val="2"/>
            <w:vAlign w:val="center"/>
          </w:tcPr>
          <w:p>
            <w:pPr>
              <w:pStyle w:val="11"/>
            </w:pPr>
            <w:r>
              <w:t>收入</w:t>
            </w:r>
          </w:p>
        </w:tc>
        <w:tc>
          <w:tcPr>
            <w:tcW w:w="6661" w:type="dxa"/>
            <w:gridSpan w:val="2"/>
            <w:vAlign w:val="center"/>
          </w:tcPr>
          <w:p>
            <w:pPr>
              <w:pStyle w:val="11"/>
            </w:pPr>
            <w:r>
              <w:t>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4535" w:type="dxa"/>
            <w:vAlign w:val="center"/>
          </w:tcPr>
          <w:p>
            <w:pPr>
              <w:pStyle w:val="11"/>
            </w:pPr>
            <w:r>
              <w:t>项  目</w:t>
            </w:r>
          </w:p>
        </w:tc>
        <w:tc>
          <w:tcPr>
            <w:tcW w:w="2126" w:type="dxa"/>
            <w:vAlign w:val="center"/>
          </w:tcPr>
          <w:p>
            <w:pPr>
              <w:pStyle w:val="11"/>
            </w:pPr>
            <w:r>
              <w:t>预算数</w:t>
            </w:r>
          </w:p>
        </w:tc>
        <w:tc>
          <w:tcPr>
            <w:tcW w:w="4535" w:type="dxa"/>
            <w:vAlign w:val="center"/>
          </w:tcPr>
          <w:p>
            <w:pPr>
              <w:pStyle w:val="11"/>
            </w:pPr>
            <w:r>
              <w:t>项  目</w:t>
            </w:r>
          </w:p>
        </w:tc>
        <w:tc>
          <w:tcPr>
            <w:tcW w:w="2126" w:type="dxa"/>
            <w:vAlign w:val="center"/>
          </w:tcPr>
          <w:p>
            <w:pPr>
              <w:pStyle w:val="11"/>
            </w:pPr>
            <w:r>
              <w:t>预算数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4535" w:type="dxa"/>
            <w:vAlign w:val="center"/>
          </w:tcPr>
          <w:p>
            <w:pPr>
              <w:pStyle w:val="11"/>
            </w:pPr>
            <w:r>
              <w:t>1</w:t>
            </w:r>
          </w:p>
        </w:tc>
        <w:tc>
          <w:tcPr>
            <w:tcW w:w="2126" w:type="dxa"/>
            <w:vAlign w:val="center"/>
          </w:tcPr>
          <w:p>
            <w:pPr>
              <w:pStyle w:val="11"/>
            </w:pPr>
            <w:r>
              <w:t>2</w:t>
            </w:r>
          </w:p>
        </w:tc>
        <w:tc>
          <w:tcPr>
            <w:tcW w:w="4535" w:type="dxa"/>
            <w:vAlign w:val="center"/>
          </w:tcPr>
          <w:p>
            <w:pPr>
              <w:pStyle w:val="11"/>
            </w:pPr>
            <w:r>
              <w:t>3</w:t>
            </w:r>
          </w:p>
        </w:tc>
        <w:tc>
          <w:tcPr>
            <w:tcW w:w="2126" w:type="dxa"/>
            <w:vAlign w:val="center"/>
          </w:tcPr>
          <w:p>
            <w:pPr>
              <w:pStyle w:val="11"/>
            </w:pPr>
            <w:r>
              <w:t>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w:t>
            </w:r>
          </w:p>
        </w:tc>
        <w:tc>
          <w:tcPr>
            <w:tcW w:w="4535" w:type="dxa"/>
            <w:vAlign w:val="center"/>
          </w:tcPr>
          <w:p>
            <w:pPr>
              <w:pStyle w:val="13"/>
            </w:pPr>
            <w:r>
              <w:t>一、一般公共预算拨款收入</w:t>
            </w:r>
          </w:p>
        </w:tc>
        <w:tc>
          <w:tcPr>
            <w:tcW w:w="2126" w:type="dxa"/>
            <w:vAlign w:val="center"/>
          </w:tcPr>
          <w:p>
            <w:pPr>
              <w:pStyle w:val="12"/>
            </w:pPr>
            <w:r>
              <w:t>41.44</w:t>
            </w:r>
          </w:p>
        </w:tc>
        <w:tc>
          <w:tcPr>
            <w:tcW w:w="4535" w:type="dxa"/>
            <w:vAlign w:val="center"/>
          </w:tcPr>
          <w:p>
            <w:pPr>
              <w:pStyle w:val="13"/>
            </w:pPr>
            <w:r>
              <w:t>一、一般公共服务支出</w:t>
            </w:r>
          </w:p>
        </w:tc>
        <w:tc>
          <w:tcPr>
            <w:tcW w:w="2126" w:type="dxa"/>
            <w:vAlign w:val="center"/>
          </w:tcPr>
          <w:p>
            <w:pPr>
              <w:pStyle w:val="12"/>
            </w:pPr>
            <w:r>
              <w:t>33.33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w:t>
            </w:r>
          </w:p>
        </w:tc>
        <w:tc>
          <w:tcPr>
            <w:tcW w:w="4535" w:type="dxa"/>
            <w:vAlign w:val="center"/>
          </w:tcPr>
          <w:p>
            <w:pPr>
              <w:pStyle w:val="13"/>
            </w:pPr>
            <w:r>
              <w:t>二、政府性基金预算拨款收入</w:t>
            </w:r>
          </w:p>
        </w:tc>
        <w:tc>
          <w:tcPr>
            <w:tcW w:w="2126" w:type="dxa"/>
            <w:vAlign w:val="center"/>
          </w:tcPr>
          <w:p>
            <w:pPr>
              <w:pStyle w:val="12"/>
            </w:pPr>
          </w:p>
        </w:tc>
        <w:tc>
          <w:tcPr>
            <w:tcW w:w="4535" w:type="dxa"/>
            <w:vAlign w:val="center"/>
          </w:tcPr>
          <w:p>
            <w:pPr>
              <w:pStyle w:val="13"/>
            </w:pPr>
            <w:r>
              <w:t>二、外交支出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w:t>
            </w:r>
          </w:p>
        </w:tc>
        <w:tc>
          <w:tcPr>
            <w:tcW w:w="4535" w:type="dxa"/>
            <w:vAlign w:val="center"/>
          </w:tcPr>
          <w:p>
            <w:pPr>
              <w:pStyle w:val="13"/>
            </w:pPr>
            <w:r>
              <w:t>三、国有资本经营预算拨款收入</w:t>
            </w:r>
          </w:p>
        </w:tc>
        <w:tc>
          <w:tcPr>
            <w:tcW w:w="2126" w:type="dxa"/>
            <w:vAlign w:val="center"/>
          </w:tcPr>
          <w:p>
            <w:pPr>
              <w:pStyle w:val="12"/>
            </w:pPr>
          </w:p>
        </w:tc>
        <w:tc>
          <w:tcPr>
            <w:tcW w:w="4535" w:type="dxa"/>
            <w:vAlign w:val="center"/>
          </w:tcPr>
          <w:p>
            <w:pPr>
              <w:pStyle w:val="13"/>
            </w:pPr>
            <w:r>
              <w:t>三、国防支出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4</w:t>
            </w:r>
          </w:p>
        </w:tc>
        <w:tc>
          <w:tcPr>
            <w:tcW w:w="4535" w:type="dxa"/>
            <w:vAlign w:val="center"/>
          </w:tcPr>
          <w:p>
            <w:pPr>
              <w:pStyle w:val="13"/>
            </w:pPr>
            <w:r>
              <w:t>四、财政专户管理资金收入</w:t>
            </w:r>
          </w:p>
        </w:tc>
        <w:tc>
          <w:tcPr>
            <w:tcW w:w="2126" w:type="dxa"/>
            <w:vAlign w:val="center"/>
          </w:tcPr>
          <w:p>
            <w:pPr>
              <w:pStyle w:val="12"/>
            </w:pPr>
          </w:p>
        </w:tc>
        <w:tc>
          <w:tcPr>
            <w:tcW w:w="4535" w:type="dxa"/>
            <w:vAlign w:val="center"/>
          </w:tcPr>
          <w:p>
            <w:pPr>
              <w:pStyle w:val="13"/>
            </w:pPr>
            <w:r>
              <w:t>四、公共安全支出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5</w:t>
            </w:r>
          </w:p>
        </w:tc>
        <w:tc>
          <w:tcPr>
            <w:tcW w:w="4535" w:type="dxa"/>
            <w:vAlign w:val="center"/>
          </w:tcPr>
          <w:p>
            <w:pPr>
              <w:pStyle w:val="13"/>
            </w:pPr>
            <w:r>
              <w:t>五、单位资金</w:t>
            </w:r>
          </w:p>
        </w:tc>
        <w:tc>
          <w:tcPr>
            <w:tcW w:w="2126" w:type="dxa"/>
            <w:vAlign w:val="center"/>
          </w:tcPr>
          <w:p>
            <w:pPr>
              <w:pStyle w:val="12"/>
            </w:pPr>
          </w:p>
        </w:tc>
        <w:tc>
          <w:tcPr>
            <w:tcW w:w="4535" w:type="dxa"/>
            <w:vAlign w:val="center"/>
          </w:tcPr>
          <w:p>
            <w:pPr>
              <w:pStyle w:val="13"/>
            </w:pPr>
            <w:r>
              <w:t>五、教育支出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6</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六、科学技术支出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7</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七、文化旅游体育与传媒支出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8</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八、社会保障和就业支出</w:t>
            </w:r>
          </w:p>
        </w:tc>
        <w:tc>
          <w:tcPr>
            <w:tcW w:w="2126" w:type="dxa"/>
            <w:vAlign w:val="center"/>
          </w:tcPr>
          <w:p>
            <w:pPr>
              <w:pStyle w:val="12"/>
            </w:pPr>
            <w:r>
              <w:t>4.22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9</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九、社会保险基金支出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10</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十、卫生健康支出</w:t>
            </w:r>
          </w:p>
        </w:tc>
        <w:tc>
          <w:tcPr>
            <w:tcW w:w="2126" w:type="dxa"/>
            <w:vAlign w:val="center"/>
          </w:tcPr>
          <w:p>
            <w:pPr>
              <w:pStyle w:val="12"/>
            </w:pPr>
            <w:r>
              <w:t>1.95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11</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十一、节能环保支出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12</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十二、城乡社区支出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13</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十三、农林水支出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14</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十四、交通运输支出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15</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十五、资源勘探工业信息等支出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16</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十六、商业服务业等支出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17</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十七、金融支出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18</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十八、援助其他地区支出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19</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十九、自然资源海洋气象等支出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20</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二十、住房保障支出</w:t>
            </w:r>
          </w:p>
        </w:tc>
        <w:tc>
          <w:tcPr>
            <w:tcW w:w="2126" w:type="dxa"/>
            <w:vAlign w:val="center"/>
          </w:tcPr>
          <w:p>
            <w:pPr>
              <w:pStyle w:val="12"/>
            </w:pPr>
            <w:r>
              <w:t>1.94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21</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二十一、粮油物资储备支出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22</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二十二、国有资本经营预算支出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23</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二十三、灾害防治及应急管理支出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24</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二十四、预备费</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25</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二十五、其他支出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26</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二十六、转移性支出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27</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二十七、债务还本支出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28</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二十八、债务付息支出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29</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二十九、债务发行费用支出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30</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三十、抗疫特别国债安排的支出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31</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三十一、人行科目</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32</w:t>
            </w:r>
          </w:p>
        </w:tc>
        <w:tc>
          <w:tcPr>
            <w:tcW w:w="4535" w:type="dxa"/>
            <w:vAlign w:val="center"/>
          </w:tcPr>
          <w:p>
            <w:pPr>
              <w:pStyle w:val="15"/>
            </w:pPr>
            <w:r>
              <w:t>本年收入合计</w:t>
            </w:r>
          </w:p>
        </w:tc>
        <w:tc>
          <w:tcPr>
            <w:tcW w:w="2126" w:type="dxa"/>
            <w:vAlign w:val="center"/>
          </w:tcPr>
          <w:p>
            <w:pPr>
              <w:pStyle w:val="16"/>
            </w:pPr>
            <w:r>
              <w:t>41.44</w:t>
            </w:r>
          </w:p>
        </w:tc>
        <w:tc>
          <w:tcPr>
            <w:tcW w:w="4535" w:type="dxa"/>
            <w:vAlign w:val="center"/>
          </w:tcPr>
          <w:p>
            <w:pPr>
              <w:pStyle w:val="15"/>
            </w:pPr>
            <w:r>
              <w:t>本年支出合计</w:t>
            </w:r>
          </w:p>
        </w:tc>
        <w:tc>
          <w:tcPr>
            <w:tcW w:w="2126" w:type="dxa"/>
            <w:vAlign w:val="center"/>
          </w:tcPr>
          <w:p>
            <w:pPr>
              <w:pStyle w:val="16"/>
            </w:pPr>
            <w:r>
              <w:t>41.44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33</w:t>
            </w:r>
          </w:p>
        </w:tc>
        <w:tc>
          <w:tcPr>
            <w:tcW w:w="4535" w:type="dxa"/>
            <w:vAlign w:val="center"/>
          </w:tcPr>
          <w:p>
            <w:pPr>
              <w:pStyle w:val="13"/>
            </w:pPr>
            <w:r>
              <w:t>上年结转结余</w:t>
            </w:r>
          </w:p>
        </w:tc>
        <w:tc>
          <w:tcPr>
            <w:tcW w:w="2126" w:type="dxa"/>
            <w:vAlign w:val="center"/>
          </w:tcPr>
          <w:p>
            <w:pPr>
              <w:pStyle w:val="12"/>
            </w:pPr>
          </w:p>
        </w:tc>
        <w:tc>
          <w:tcPr>
            <w:tcW w:w="4535" w:type="dxa"/>
            <w:vAlign w:val="center"/>
          </w:tcPr>
          <w:p>
            <w:pPr>
              <w:pStyle w:val="13"/>
            </w:pPr>
            <w:r>
              <w:t>年终结转结余</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34</w:t>
            </w:r>
          </w:p>
        </w:tc>
        <w:tc>
          <w:tcPr>
            <w:tcW w:w="4535" w:type="dxa"/>
            <w:vAlign w:val="center"/>
          </w:tcPr>
          <w:p>
            <w:pPr>
              <w:pStyle w:val="15"/>
            </w:pPr>
            <w:r>
              <w:t>收入总计</w:t>
            </w:r>
          </w:p>
        </w:tc>
        <w:tc>
          <w:tcPr>
            <w:tcW w:w="2126" w:type="dxa"/>
            <w:vAlign w:val="center"/>
          </w:tcPr>
          <w:p>
            <w:pPr>
              <w:pStyle w:val="16"/>
            </w:pPr>
            <w:r>
              <w:t>41.44</w:t>
            </w:r>
          </w:p>
        </w:tc>
        <w:tc>
          <w:tcPr>
            <w:tcW w:w="4535" w:type="dxa"/>
            <w:vAlign w:val="center"/>
          </w:tcPr>
          <w:p>
            <w:pPr>
              <w:pStyle w:val="15"/>
            </w:pPr>
            <w:r>
              <w:t>支出总计</w:t>
            </w:r>
          </w:p>
        </w:tc>
        <w:tc>
          <w:tcPr>
            <w:tcW w:w="2126" w:type="dxa"/>
            <w:vAlign w:val="center"/>
          </w:tcPr>
          <w:p>
            <w:pPr>
              <w:pStyle w:val="16"/>
            </w:pPr>
            <w:r>
              <w:t>41.44</w:t>
            </w:r>
          </w:p>
        </w:tc>
      </w:tr>
    </w:tbl>
    <w:p>
      <w:pPr>
        <w:sectPr>
          <w:footerReference r:id="rId3" w:type="default"/>
          <w:footerReference r:id="rId4" w:type="even"/>
          <w:pgSz w:w="16840" w:h="11900" w:orient="landscape"/>
          <w:pgMar w:top="1361" w:right="1020" w:bottom="1134" w:left="1020" w:header="720" w:footer="720" w:gutter="0"/>
          <w:pgNumType w:start="1"/>
          <w:cols w:space="720" w:num="1"/>
        </w:sectPr>
      </w:pPr>
    </w:p>
    <w:p>
      <w:pPr>
        <w:spacing w:before="0" w:after="0" w:line="240" w:lineRule="auto"/>
        <w:ind w:firstLine="0"/>
        <w:jc w:val="center"/>
        <w:outlineLvl w:val="1"/>
      </w:pPr>
      <w:bookmarkStart w:id="1" w:name="_Toc_2_2_0000000002"/>
      <w:r>
        <w:rPr>
          <w:rFonts w:ascii="方正小标宋_GBK" w:hAnsi="方正小标宋_GBK" w:eastAsia="方正小标宋_GBK" w:cs="方正小标宋_GBK"/>
          <w:color w:val="000000"/>
          <w:sz w:val="36"/>
        </w:rPr>
        <w:t>部门预算收入总表</w:t>
      </w:r>
      <w:bookmarkEnd w:id="1"/>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pPr>
              <w:pStyle w:val="10"/>
            </w:pPr>
            <w:r>
              <w:t>224中共顺平县委网络安全和信息化委员会办公室</w:t>
            </w:r>
          </w:p>
        </w:tc>
        <w:tc>
          <w:tcPr>
            <w:tcW w:w="3402" w:type="dxa"/>
            <w:gridSpan w:val="3"/>
            <w:tcBorders>
              <w:top w:val="single" w:color="FFFFFF" w:sz="6" w:space="0"/>
              <w:left w:val="single" w:color="FFFFFF" w:sz="6" w:space="0"/>
              <w:right w:val="single" w:color="FFFFFF" w:sz="6" w:space="0"/>
            </w:tcBorders>
            <w:vAlign w:val="center"/>
          </w:tcPr>
          <w:p>
            <w:pPr>
              <w:pStyle w:val="9"/>
            </w:pPr>
            <w:r>
              <w:t>预算年度：2025</w:t>
            </w:r>
          </w:p>
        </w:tc>
        <w:tc>
          <w:tcPr>
            <w:tcW w:w="5670" w:type="dxa"/>
            <w:gridSpan w:val="5"/>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pPr>
              <w:pStyle w:val="11"/>
            </w:pPr>
            <w:r>
              <w:t>序号</w:t>
            </w:r>
          </w:p>
        </w:tc>
        <w:tc>
          <w:tcPr>
            <w:tcW w:w="2551" w:type="dxa"/>
            <w:gridSpan w:val="2"/>
            <w:vAlign w:val="center"/>
          </w:tcPr>
          <w:p>
            <w:pPr>
              <w:pStyle w:val="11"/>
            </w:pPr>
            <w:r>
              <w:t>功能分类科目</w:t>
            </w:r>
          </w:p>
        </w:tc>
        <w:tc>
          <w:tcPr>
            <w:tcW w:w="1134" w:type="dxa"/>
            <w:vMerge w:val="restart"/>
            <w:vAlign w:val="center"/>
          </w:tcPr>
          <w:p>
            <w:pPr>
              <w:pStyle w:val="11"/>
            </w:pPr>
            <w:r>
              <w:t>合计</w:t>
            </w:r>
          </w:p>
        </w:tc>
        <w:tc>
          <w:tcPr>
            <w:tcW w:w="9072" w:type="dxa"/>
            <w:gridSpan w:val="8"/>
            <w:vAlign w:val="center"/>
          </w:tcPr>
          <w:p>
            <w:pPr>
              <w:pStyle w:val="11"/>
            </w:pPr>
            <w:r>
              <w:t>本年收入</w:t>
            </w:r>
          </w:p>
        </w:tc>
        <w:tc>
          <w:tcPr>
            <w:tcW w:w="1134" w:type="dxa"/>
            <w:vMerge w:val="restart"/>
            <w:vAlign w:val="center"/>
          </w:tcPr>
          <w:p>
            <w:pPr>
              <w:pStyle w:val="11"/>
            </w:pPr>
            <w:r>
              <w:t>上年结转</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tc>
        <w:tc>
          <w:tcPr>
            <w:tcW w:w="992" w:type="dxa"/>
            <w:vAlign w:val="center"/>
          </w:tcPr>
          <w:p>
            <w:pPr>
              <w:pStyle w:val="11"/>
            </w:pPr>
            <w:r>
              <w:t>科目    编码</w:t>
            </w:r>
          </w:p>
        </w:tc>
        <w:tc>
          <w:tcPr>
            <w:tcW w:w="1559" w:type="dxa"/>
            <w:vAlign w:val="center"/>
          </w:tcPr>
          <w:p>
            <w:pPr>
              <w:pStyle w:val="11"/>
            </w:pPr>
            <w:r>
              <w:t>科目名称</w:t>
            </w:r>
          </w:p>
        </w:tc>
        <w:tc>
          <w:tcPr>
            <w:tcW w:w="1134" w:type="dxa"/>
            <w:vMerge w:val="continue"/>
          </w:tcPr>
          <w:p/>
        </w:tc>
        <w:tc>
          <w:tcPr>
            <w:tcW w:w="1134" w:type="dxa"/>
            <w:vAlign w:val="center"/>
          </w:tcPr>
          <w:p>
            <w:pPr>
              <w:pStyle w:val="11"/>
            </w:pPr>
            <w:r>
              <w:t>小计</w:t>
            </w:r>
          </w:p>
        </w:tc>
        <w:tc>
          <w:tcPr>
            <w:tcW w:w="1134" w:type="dxa"/>
            <w:vAlign w:val="center"/>
          </w:tcPr>
          <w:p>
            <w:pPr>
              <w:pStyle w:val="11"/>
            </w:pPr>
            <w:r>
              <w:t>财政拨款 收入</w:t>
            </w:r>
          </w:p>
        </w:tc>
        <w:tc>
          <w:tcPr>
            <w:tcW w:w="1134" w:type="dxa"/>
            <w:vAlign w:val="center"/>
          </w:tcPr>
          <w:p>
            <w:pPr>
              <w:pStyle w:val="11"/>
            </w:pPr>
            <w:r>
              <w:t>财政专户 收入</w:t>
            </w:r>
          </w:p>
        </w:tc>
        <w:tc>
          <w:tcPr>
            <w:tcW w:w="1134" w:type="dxa"/>
            <w:vAlign w:val="center"/>
          </w:tcPr>
          <w:p>
            <w:pPr>
              <w:pStyle w:val="11"/>
            </w:pPr>
            <w:r>
              <w:t>事业收入</w:t>
            </w:r>
          </w:p>
        </w:tc>
        <w:tc>
          <w:tcPr>
            <w:tcW w:w="1134" w:type="dxa"/>
            <w:vAlign w:val="center"/>
          </w:tcPr>
          <w:p>
            <w:pPr>
              <w:pStyle w:val="11"/>
            </w:pPr>
            <w:r>
              <w:t>经营收入</w:t>
            </w:r>
          </w:p>
        </w:tc>
        <w:tc>
          <w:tcPr>
            <w:tcW w:w="1134" w:type="dxa"/>
            <w:vAlign w:val="center"/>
          </w:tcPr>
          <w:p>
            <w:pPr>
              <w:pStyle w:val="11"/>
            </w:pPr>
            <w:r>
              <w:t>上级补助收入</w:t>
            </w:r>
          </w:p>
        </w:tc>
        <w:tc>
          <w:tcPr>
            <w:tcW w:w="1134" w:type="dxa"/>
            <w:vAlign w:val="center"/>
          </w:tcPr>
          <w:p>
            <w:pPr>
              <w:pStyle w:val="11"/>
            </w:pPr>
            <w:r>
              <w:t>附属单位上缴收入</w:t>
            </w:r>
          </w:p>
        </w:tc>
        <w:tc>
          <w:tcPr>
            <w:tcW w:w="1134" w:type="dxa"/>
            <w:vAlign w:val="center"/>
          </w:tcPr>
          <w:p>
            <w:pPr>
              <w:pStyle w:val="11"/>
            </w:pPr>
            <w:r>
              <w:t>其他收入</w:t>
            </w:r>
          </w:p>
        </w:tc>
        <w:tc>
          <w:tcPr>
            <w:tcW w:w="1134"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pPr>
              <w:pStyle w:val="11"/>
            </w:pPr>
            <w:r>
              <w:t>栏次</w:t>
            </w:r>
          </w:p>
        </w:tc>
        <w:tc>
          <w:tcPr>
            <w:tcW w:w="992" w:type="dxa"/>
            <w:vAlign w:val="center"/>
          </w:tcPr>
          <w:p>
            <w:pPr>
              <w:pStyle w:val="11"/>
            </w:pPr>
            <w:r>
              <w:t>1</w:t>
            </w:r>
          </w:p>
        </w:tc>
        <w:tc>
          <w:tcPr>
            <w:tcW w:w="1559" w:type="dxa"/>
            <w:vAlign w:val="center"/>
          </w:tcPr>
          <w:p>
            <w:pPr>
              <w:pStyle w:val="11"/>
            </w:pPr>
            <w:r>
              <w:t>2</w:t>
            </w:r>
          </w:p>
        </w:tc>
        <w:tc>
          <w:tcPr>
            <w:tcW w:w="1134" w:type="dxa"/>
            <w:vAlign w:val="center"/>
          </w:tcPr>
          <w:p>
            <w:pPr>
              <w:pStyle w:val="11"/>
            </w:pPr>
            <w:r>
              <w:t>3</w:t>
            </w:r>
          </w:p>
        </w:tc>
        <w:tc>
          <w:tcPr>
            <w:tcW w:w="1134" w:type="dxa"/>
            <w:vAlign w:val="center"/>
          </w:tcPr>
          <w:p>
            <w:pPr>
              <w:pStyle w:val="11"/>
            </w:pPr>
            <w:r>
              <w:t>4</w:t>
            </w:r>
          </w:p>
        </w:tc>
        <w:tc>
          <w:tcPr>
            <w:tcW w:w="1134" w:type="dxa"/>
            <w:vAlign w:val="center"/>
          </w:tcPr>
          <w:p>
            <w:pPr>
              <w:pStyle w:val="11"/>
            </w:pPr>
            <w:r>
              <w:t>5</w:t>
            </w:r>
          </w:p>
        </w:tc>
        <w:tc>
          <w:tcPr>
            <w:tcW w:w="1134" w:type="dxa"/>
            <w:vAlign w:val="center"/>
          </w:tcPr>
          <w:p>
            <w:pPr>
              <w:pStyle w:val="11"/>
            </w:pPr>
            <w:r>
              <w:t>6</w:t>
            </w:r>
          </w:p>
        </w:tc>
        <w:tc>
          <w:tcPr>
            <w:tcW w:w="1134" w:type="dxa"/>
            <w:vAlign w:val="center"/>
          </w:tcPr>
          <w:p>
            <w:pPr>
              <w:pStyle w:val="11"/>
            </w:pPr>
            <w:r>
              <w:t>7</w:t>
            </w:r>
          </w:p>
        </w:tc>
        <w:tc>
          <w:tcPr>
            <w:tcW w:w="1134" w:type="dxa"/>
            <w:vAlign w:val="center"/>
          </w:tcPr>
          <w:p>
            <w:pPr>
              <w:pStyle w:val="11"/>
            </w:pPr>
            <w:r>
              <w:t>8</w:t>
            </w:r>
          </w:p>
        </w:tc>
        <w:tc>
          <w:tcPr>
            <w:tcW w:w="1134" w:type="dxa"/>
            <w:vAlign w:val="center"/>
          </w:tcPr>
          <w:p>
            <w:pPr>
              <w:pStyle w:val="11"/>
            </w:pPr>
            <w:r>
              <w:t>9</w:t>
            </w:r>
          </w:p>
        </w:tc>
        <w:tc>
          <w:tcPr>
            <w:tcW w:w="1134" w:type="dxa"/>
            <w:vAlign w:val="center"/>
          </w:tcPr>
          <w:p>
            <w:pPr>
              <w:pStyle w:val="11"/>
            </w:pPr>
            <w:r>
              <w:t>10</w:t>
            </w:r>
          </w:p>
        </w:tc>
        <w:tc>
          <w:tcPr>
            <w:tcW w:w="1134" w:type="dxa"/>
            <w:vAlign w:val="center"/>
          </w:tcPr>
          <w:p>
            <w:pPr>
              <w:pStyle w:val="11"/>
            </w:pPr>
            <w:r>
              <w:t>11</w:t>
            </w:r>
          </w:p>
        </w:tc>
        <w:tc>
          <w:tcPr>
            <w:tcW w:w="1134" w:type="dxa"/>
            <w:vAlign w:val="center"/>
          </w:tcPr>
          <w:p>
            <w:pPr>
              <w:pStyle w:val="11"/>
            </w:pPr>
            <w:r>
              <w:t>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1</w:t>
            </w:r>
          </w:p>
        </w:tc>
        <w:tc>
          <w:tcPr>
            <w:tcW w:w="992" w:type="dxa"/>
            <w:vAlign w:val="center"/>
          </w:tcPr>
          <w:p>
            <w:pPr>
              <w:pStyle w:val="17"/>
            </w:pPr>
          </w:p>
        </w:tc>
        <w:tc>
          <w:tcPr>
            <w:tcW w:w="1559" w:type="dxa"/>
            <w:vAlign w:val="center"/>
          </w:tcPr>
          <w:p>
            <w:pPr>
              <w:pStyle w:val="15"/>
            </w:pPr>
            <w:r>
              <w:t>合计</w:t>
            </w:r>
          </w:p>
        </w:tc>
        <w:tc>
          <w:tcPr>
            <w:tcW w:w="1134" w:type="dxa"/>
            <w:vAlign w:val="center"/>
          </w:tcPr>
          <w:p>
            <w:pPr>
              <w:pStyle w:val="16"/>
            </w:pPr>
            <w:r>
              <w:t>41.44</w:t>
            </w:r>
          </w:p>
        </w:tc>
        <w:tc>
          <w:tcPr>
            <w:tcW w:w="1134" w:type="dxa"/>
            <w:vAlign w:val="center"/>
          </w:tcPr>
          <w:p>
            <w:pPr>
              <w:pStyle w:val="16"/>
            </w:pPr>
            <w:r>
              <w:t>41.44</w:t>
            </w:r>
          </w:p>
        </w:tc>
        <w:tc>
          <w:tcPr>
            <w:tcW w:w="1134" w:type="dxa"/>
            <w:vAlign w:val="center"/>
          </w:tcPr>
          <w:p>
            <w:pPr>
              <w:pStyle w:val="16"/>
            </w:pPr>
            <w:r>
              <w:t>41.44</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2</w:t>
            </w:r>
          </w:p>
        </w:tc>
        <w:tc>
          <w:tcPr>
            <w:tcW w:w="992" w:type="dxa"/>
            <w:vAlign w:val="center"/>
          </w:tcPr>
          <w:p>
            <w:pPr>
              <w:pStyle w:val="13"/>
            </w:pPr>
            <w:r>
              <w:t>201</w:t>
            </w:r>
          </w:p>
        </w:tc>
        <w:tc>
          <w:tcPr>
            <w:tcW w:w="1559" w:type="dxa"/>
            <w:vAlign w:val="center"/>
          </w:tcPr>
          <w:p>
            <w:pPr>
              <w:pStyle w:val="13"/>
            </w:pPr>
            <w:r>
              <w:t>一般公共服务支出</w:t>
            </w:r>
          </w:p>
        </w:tc>
        <w:tc>
          <w:tcPr>
            <w:tcW w:w="1134" w:type="dxa"/>
            <w:vAlign w:val="center"/>
          </w:tcPr>
          <w:p>
            <w:pPr>
              <w:pStyle w:val="12"/>
            </w:pPr>
            <w:r>
              <w:t>33.33</w:t>
            </w:r>
          </w:p>
        </w:tc>
        <w:tc>
          <w:tcPr>
            <w:tcW w:w="1134" w:type="dxa"/>
            <w:vAlign w:val="center"/>
          </w:tcPr>
          <w:p>
            <w:pPr>
              <w:pStyle w:val="12"/>
            </w:pPr>
            <w:r>
              <w:t>33.33</w:t>
            </w:r>
          </w:p>
        </w:tc>
        <w:tc>
          <w:tcPr>
            <w:tcW w:w="1134" w:type="dxa"/>
            <w:vAlign w:val="center"/>
          </w:tcPr>
          <w:p>
            <w:pPr>
              <w:pStyle w:val="12"/>
            </w:pPr>
            <w:r>
              <w:t>33.33</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3</w:t>
            </w:r>
          </w:p>
        </w:tc>
        <w:tc>
          <w:tcPr>
            <w:tcW w:w="992" w:type="dxa"/>
            <w:vAlign w:val="center"/>
          </w:tcPr>
          <w:p>
            <w:pPr>
              <w:pStyle w:val="13"/>
            </w:pPr>
            <w:r>
              <w:t>20137</w:t>
            </w:r>
          </w:p>
        </w:tc>
        <w:tc>
          <w:tcPr>
            <w:tcW w:w="1559" w:type="dxa"/>
            <w:vAlign w:val="center"/>
          </w:tcPr>
          <w:p>
            <w:pPr>
              <w:pStyle w:val="13"/>
            </w:pPr>
            <w:r>
              <w:t>网信事务</w:t>
            </w:r>
          </w:p>
        </w:tc>
        <w:tc>
          <w:tcPr>
            <w:tcW w:w="1134" w:type="dxa"/>
            <w:vAlign w:val="center"/>
          </w:tcPr>
          <w:p>
            <w:pPr>
              <w:pStyle w:val="12"/>
            </w:pPr>
            <w:r>
              <w:t>33.33</w:t>
            </w:r>
          </w:p>
        </w:tc>
        <w:tc>
          <w:tcPr>
            <w:tcW w:w="1134" w:type="dxa"/>
            <w:vAlign w:val="center"/>
          </w:tcPr>
          <w:p>
            <w:pPr>
              <w:pStyle w:val="12"/>
            </w:pPr>
            <w:r>
              <w:t>33.33</w:t>
            </w:r>
          </w:p>
        </w:tc>
        <w:tc>
          <w:tcPr>
            <w:tcW w:w="1134" w:type="dxa"/>
            <w:vAlign w:val="center"/>
          </w:tcPr>
          <w:p>
            <w:pPr>
              <w:pStyle w:val="12"/>
            </w:pPr>
            <w:r>
              <w:t>33.33</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4</w:t>
            </w:r>
          </w:p>
        </w:tc>
        <w:tc>
          <w:tcPr>
            <w:tcW w:w="992" w:type="dxa"/>
            <w:vAlign w:val="center"/>
          </w:tcPr>
          <w:p>
            <w:pPr>
              <w:pStyle w:val="13"/>
            </w:pPr>
            <w:r>
              <w:t>2013701</w:t>
            </w:r>
          </w:p>
        </w:tc>
        <w:tc>
          <w:tcPr>
            <w:tcW w:w="1559" w:type="dxa"/>
            <w:vAlign w:val="center"/>
          </w:tcPr>
          <w:p>
            <w:pPr>
              <w:pStyle w:val="13"/>
            </w:pPr>
            <w:r>
              <w:t>行政运行</w:t>
            </w:r>
          </w:p>
        </w:tc>
        <w:tc>
          <w:tcPr>
            <w:tcW w:w="1134" w:type="dxa"/>
            <w:vAlign w:val="center"/>
          </w:tcPr>
          <w:p>
            <w:pPr>
              <w:pStyle w:val="12"/>
            </w:pPr>
            <w:r>
              <w:t>33.33</w:t>
            </w:r>
          </w:p>
        </w:tc>
        <w:tc>
          <w:tcPr>
            <w:tcW w:w="1134" w:type="dxa"/>
            <w:vAlign w:val="center"/>
          </w:tcPr>
          <w:p>
            <w:pPr>
              <w:pStyle w:val="12"/>
            </w:pPr>
            <w:r>
              <w:t>33.33</w:t>
            </w:r>
          </w:p>
        </w:tc>
        <w:tc>
          <w:tcPr>
            <w:tcW w:w="1134" w:type="dxa"/>
            <w:vAlign w:val="center"/>
          </w:tcPr>
          <w:p>
            <w:pPr>
              <w:pStyle w:val="12"/>
            </w:pPr>
            <w:r>
              <w:t>33.33</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5</w:t>
            </w:r>
          </w:p>
        </w:tc>
        <w:tc>
          <w:tcPr>
            <w:tcW w:w="992" w:type="dxa"/>
            <w:vAlign w:val="center"/>
          </w:tcPr>
          <w:p>
            <w:pPr>
              <w:pStyle w:val="13"/>
            </w:pPr>
            <w:r>
              <w:t>208</w:t>
            </w:r>
          </w:p>
        </w:tc>
        <w:tc>
          <w:tcPr>
            <w:tcW w:w="1559" w:type="dxa"/>
            <w:vAlign w:val="center"/>
          </w:tcPr>
          <w:p>
            <w:pPr>
              <w:pStyle w:val="13"/>
            </w:pPr>
            <w:r>
              <w:t>社会保障和就业支出</w:t>
            </w:r>
          </w:p>
        </w:tc>
        <w:tc>
          <w:tcPr>
            <w:tcW w:w="1134" w:type="dxa"/>
            <w:vAlign w:val="center"/>
          </w:tcPr>
          <w:p>
            <w:pPr>
              <w:pStyle w:val="12"/>
            </w:pPr>
            <w:r>
              <w:t>4.22</w:t>
            </w:r>
          </w:p>
        </w:tc>
        <w:tc>
          <w:tcPr>
            <w:tcW w:w="1134" w:type="dxa"/>
            <w:vAlign w:val="center"/>
          </w:tcPr>
          <w:p>
            <w:pPr>
              <w:pStyle w:val="12"/>
            </w:pPr>
            <w:r>
              <w:t>4.22</w:t>
            </w:r>
          </w:p>
        </w:tc>
        <w:tc>
          <w:tcPr>
            <w:tcW w:w="1134" w:type="dxa"/>
            <w:vAlign w:val="center"/>
          </w:tcPr>
          <w:p>
            <w:pPr>
              <w:pStyle w:val="12"/>
            </w:pPr>
            <w:r>
              <w:t>4.22</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6</w:t>
            </w:r>
          </w:p>
        </w:tc>
        <w:tc>
          <w:tcPr>
            <w:tcW w:w="992" w:type="dxa"/>
            <w:vAlign w:val="center"/>
          </w:tcPr>
          <w:p>
            <w:pPr>
              <w:pStyle w:val="13"/>
            </w:pPr>
            <w:r>
              <w:t>20805</w:t>
            </w:r>
          </w:p>
        </w:tc>
        <w:tc>
          <w:tcPr>
            <w:tcW w:w="1559" w:type="dxa"/>
            <w:vAlign w:val="center"/>
          </w:tcPr>
          <w:p>
            <w:pPr>
              <w:pStyle w:val="13"/>
            </w:pPr>
            <w:r>
              <w:t>行政事业单位养老支出</w:t>
            </w:r>
          </w:p>
        </w:tc>
        <w:tc>
          <w:tcPr>
            <w:tcW w:w="1134" w:type="dxa"/>
            <w:vAlign w:val="center"/>
          </w:tcPr>
          <w:p>
            <w:pPr>
              <w:pStyle w:val="12"/>
            </w:pPr>
            <w:r>
              <w:t>4.22</w:t>
            </w:r>
          </w:p>
        </w:tc>
        <w:tc>
          <w:tcPr>
            <w:tcW w:w="1134" w:type="dxa"/>
            <w:vAlign w:val="center"/>
          </w:tcPr>
          <w:p>
            <w:pPr>
              <w:pStyle w:val="12"/>
            </w:pPr>
            <w:r>
              <w:t>4.22</w:t>
            </w:r>
          </w:p>
        </w:tc>
        <w:tc>
          <w:tcPr>
            <w:tcW w:w="1134" w:type="dxa"/>
            <w:vAlign w:val="center"/>
          </w:tcPr>
          <w:p>
            <w:pPr>
              <w:pStyle w:val="12"/>
            </w:pPr>
            <w:r>
              <w:t>4.22</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7</w:t>
            </w:r>
          </w:p>
        </w:tc>
        <w:tc>
          <w:tcPr>
            <w:tcW w:w="992" w:type="dxa"/>
            <w:vAlign w:val="center"/>
          </w:tcPr>
          <w:p>
            <w:pPr>
              <w:pStyle w:val="13"/>
            </w:pPr>
            <w:r>
              <w:t>2080505</w:t>
            </w:r>
          </w:p>
        </w:tc>
        <w:tc>
          <w:tcPr>
            <w:tcW w:w="1559" w:type="dxa"/>
            <w:vAlign w:val="center"/>
          </w:tcPr>
          <w:p>
            <w:pPr>
              <w:pStyle w:val="13"/>
            </w:pPr>
            <w:r>
              <w:t>机关事业单位基本养老保险缴费支出</w:t>
            </w:r>
          </w:p>
        </w:tc>
        <w:tc>
          <w:tcPr>
            <w:tcW w:w="1134" w:type="dxa"/>
            <w:vAlign w:val="center"/>
          </w:tcPr>
          <w:p>
            <w:pPr>
              <w:pStyle w:val="12"/>
            </w:pPr>
            <w:r>
              <w:t>4.22</w:t>
            </w:r>
          </w:p>
        </w:tc>
        <w:tc>
          <w:tcPr>
            <w:tcW w:w="1134" w:type="dxa"/>
            <w:vAlign w:val="center"/>
          </w:tcPr>
          <w:p>
            <w:pPr>
              <w:pStyle w:val="12"/>
            </w:pPr>
            <w:r>
              <w:t>4.22</w:t>
            </w:r>
          </w:p>
        </w:tc>
        <w:tc>
          <w:tcPr>
            <w:tcW w:w="1134" w:type="dxa"/>
            <w:vAlign w:val="center"/>
          </w:tcPr>
          <w:p>
            <w:pPr>
              <w:pStyle w:val="12"/>
            </w:pPr>
            <w:r>
              <w:t>4.22</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8</w:t>
            </w:r>
          </w:p>
        </w:tc>
        <w:tc>
          <w:tcPr>
            <w:tcW w:w="992" w:type="dxa"/>
            <w:vAlign w:val="center"/>
          </w:tcPr>
          <w:p>
            <w:pPr>
              <w:pStyle w:val="13"/>
            </w:pPr>
            <w:r>
              <w:t>210</w:t>
            </w:r>
          </w:p>
        </w:tc>
        <w:tc>
          <w:tcPr>
            <w:tcW w:w="1559" w:type="dxa"/>
            <w:vAlign w:val="center"/>
          </w:tcPr>
          <w:p>
            <w:pPr>
              <w:pStyle w:val="13"/>
            </w:pPr>
            <w:r>
              <w:t>卫生健康支出</w:t>
            </w:r>
          </w:p>
        </w:tc>
        <w:tc>
          <w:tcPr>
            <w:tcW w:w="1134" w:type="dxa"/>
            <w:vAlign w:val="center"/>
          </w:tcPr>
          <w:p>
            <w:pPr>
              <w:pStyle w:val="12"/>
            </w:pPr>
            <w:r>
              <w:t>1.95</w:t>
            </w:r>
          </w:p>
        </w:tc>
        <w:tc>
          <w:tcPr>
            <w:tcW w:w="1134" w:type="dxa"/>
            <w:vAlign w:val="center"/>
          </w:tcPr>
          <w:p>
            <w:pPr>
              <w:pStyle w:val="12"/>
            </w:pPr>
            <w:r>
              <w:t>1.95</w:t>
            </w:r>
          </w:p>
        </w:tc>
        <w:tc>
          <w:tcPr>
            <w:tcW w:w="1134" w:type="dxa"/>
            <w:vAlign w:val="center"/>
          </w:tcPr>
          <w:p>
            <w:pPr>
              <w:pStyle w:val="12"/>
            </w:pPr>
            <w:r>
              <w:t>1.95</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9</w:t>
            </w:r>
          </w:p>
        </w:tc>
        <w:tc>
          <w:tcPr>
            <w:tcW w:w="992" w:type="dxa"/>
            <w:vAlign w:val="center"/>
          </w:tcPr>
          <w:p>
            <w:pPr>
              <w:pStyle w:val="13"/>
            </w:pPr>
            <w:r>
              <w:t>21011</w:t>
            </w:r>
          </w:p>
        </w:tc>
        <w:tc>
          <w:tcPr>
            <w:tcW w:w="1559" w:type="dxa"/>
            <w:vAlign w:val="center"/>
          </w:tcPr>
          <w:p>
            <w:pPr>
              <w:pStyle w:val="13"/>
            </w:pPr>
            <w:r>
              <w:t>行政事业单位医疗</w:t>
            </w:r>
          </w:p>
        </w:tc>
        <w:tc>
          <w:tcPr>
            <w:tcW w:w="1134" w:type="dxa"/>
            <w:vAlign w:val="center"/>
          </w:tcPr>
          <w:p>
            <w:pPr>
              <w:pStyle w:val="12"/>
            </w:pPr>
            <w:r>
              <w:t>1.95</w:t>
            </w:r>
          </w:p>
        </w:tc>
        <w:tc>
          <w:tcPr>
            <w:tcW w:w="1134" w:type="dxa"/>
            <w:vAlign w:val="center"/>
          </w:tcPr>
          <w:p>
            <w:pPr>
              <w:pStyle w:val="12"/>
            </w:pPr>
            <w:r>
              <w:t>1.95</w:t>
            </w:r>
          </w:p>
        </w:tc>
        <w:tc>
          <w:tcPr>
            <w:tcW w:w="1134" w:type="dxa"/>
            <w:vAlign w:val="center"/>
          </w:tcPr>
          <w:p>
            <w:pPr>
              <w:pStyle w:val="12"/>
            </w:pPr>
            <w:r>
              <w:t>1.95</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10</w:t>
            </w:r>
          </w:p>
        </w:tc>
        <w:tc>
          <w:tcPr>
            <w:tcW w:w="992" w:type="dxa"/>
            <w:vAlign w:val="center"/>
          </w:tcPr>
          <w:p>
            <w:pPr>
              <w:pStyle w:val="13"/>
            </w:pPr>
            <w:r>
              <w:t>2101101</w:t>
            </w:r>
          </w:p>
        </w:tc>
        <w:tc>
          <w:tcPr>
            <w:tcW w:w="1559" w:type="dxa"/>
            <w:vAlign w:val="center"/>
          </w:tcPr>
          <w:p>
            <w:pPr>
              <w:pStyle w:val="13"/>
            </w:pPr>
            <w:r>
              <w:t>行政单位医疗</w:t>
            </w:r>
          </w:p>
        </w:tc>
        <w:tc>
          <w:tcPr>
            <w:tcW w:w="1134" w:type="dxa"/>
            <w:vAlign w:val="center"/>
          </w:tcPr>
          <w:p>
            <w:pPr>
              <w:pStyle w:val="12"/>
            </w:pPr>
            <w:r>
              <w:t>1.95</w:t>
            </w:r>
          </w:p>
        </w:tc>
        <w:tc>
          <w:tcPr>
            <w:tcW w:w="1134" w:type="dxa"/>
            <w:vAlign w:val="center"/>
          </w:tcPr>
          <w:p>
            <w:pPr>
              <w:pStyle w:val="12"/>
            </w:pPr>
            <w:r>
              <w:t>1.95</w:t>
            </w:r>
          </w:p>
        </w:tc>
        <w:tc>
          <w:tcPr>
            <w:tcW w:w="1134" w:type="dxa"/>
            <w:vAlign w:val="center"/>
          </w:tcPr>
          <w:p>
            <w:pPr>
              <w:pStyle w:val="12"/>
            </w:pPr>
            <w:r>
              <w:t>1.95</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11</w:t>
            </w:r>
          </w:p>
        </w:tc>
        <w:tc>
          <w:tcPr>
            <w:tcW w:w="992" w:type="dxa"/>
            <w:vAlign w:val="center"/>
          </w:tcPr>
          <w:p>
            <w:pPr>
              <w:pStyle w:val="13"/>
            </w:pPr>
            <w:r>
              <w:t>221</w:t>
            </w:r>
          </w:p>
        </w:tc>
        <w:tc>
          <w:tcPr>
            <w:tcW w:w="1559" w:type="dxa"/>
            <w:vAlign w:val="center"/>
          </w:tcPr>
          <w:p>
            <w:pPr>
              <w:pStyle w:val="13"/>
            </w:pPr>
            <w:r>
              <w:t>住房保障支出</w:t>
            </w:r>
          </w:p>
        </w:tc>
        <w:tc>
          <w:tcPr>
            <w:tcW w:w="1134" w:type="dxa"/>
            <w:vAlign w:val="center"/>
          </w:tcPr>
          <w:p>
            <w:pPr>
              <w:pStyle w:val="12"/>
            </w:pPr>
            <w:r>
              <w:t>1.94</w:t>
            </w:r>
          </w:p>
        </w:tc>
        <w:tc>
          <w:tcPr>
            <w:tcW w:w="1134" w:type="dxa"/>
            <w:vAlign w:val="center"/>
          </w:tcPr>
          <w:p>
            <w:pPr>
              <w:pStyle w:val="12"/>
            </w:pPr>
            <w:r>
              <w:t>1.94</w:t>
            </w:r>
          </w:p>
        </w:tc>
        <w:tc>
          <w:tcPr>
            <w:tcW w:w="1134" w:type="dxa"/>
            <w:vAlign w:val="center"/>
          </w:tcPr>
          <w:p>
            <w:pPr>
              <w:pStyle w:val="12"/>
            </w:pPr>
            <w:r>
              <w:t>1.94</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12</w:t>
            </w:r>
          </w:p>
        </w:tc>
        <w:tc>
          <w:tcPr>
            <w:tcW w:w="992" w:type="dxa"/>
            <w:vAlign w:val="center"/>
          </w:tcPr>
          <w:p>
            <w:pPr>
              <w:pStyle w:val="13"/>
            </w:pPr>
            <w:r>
              <w:t>22102</w:t>
            </w:r>
          </w:p>
        </w:tc>
        <w:tc>
          <w:tcPr>
            <w:tcW w:w="1559" w:type="dxa"/>
            <w:vAlign w:val="center"/>
          </w:tcPr>
          <w:p>
            <w:pPr>
              <w:pStyle w:val="13"/>
            </w:pPr>
            <w:r>
              <w:t>住房改革支出</w:t>
            </w:r>
          </w:p>
        </w:tc>
        <w:tc>
          <w:tcPr>
            <w:tcW w:w="1134" w:type="dxa"/>
            <w:vAlign w:val="center"/>
          </w:tcPr>
          <w:p>
            <w:pPr>
              <w:pStyle w:val="12"/>
            </w:pPr>
            <w:r>
              <w:t>1.94</w:t>
            </w:r>
          </w:p>
        </w:tc>
        <w:tc>
          <w:tcPr>
            <w:tcW w:w="1134" w:type="dxa"/>
            <w:vAlign w:val="center"/>
          </w:tcPr>
          <w:p>
            <w:pPr>
              <w:pStyle w:val="12"/>
            </w:pPr>
            <w:r>
              <w:t>1.94</w:t>
            </w:r>
          </w:p>
        </w:tc>
        <w:tc>
          <w:tcPr>
            <w:tcW w:w="1134" w:type="dxa"/>
            <w:vAlign w:val="center"/>
          </w:tcPr>
          <w:p>
            <w:pPr>
              <w:pStyle w:val="12"/>
            </w:pPr>
            <w:r>
              <w:t>1.94</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13</w:t>
            </w:r>
          </w:p>
        </w:tc>
        <w:tc>
          <w:tcPr>
            <w:tcW w:w="992" w:type="dxa"/>
            <w:vAlign w:val="center"/>
          </w:tcPr>
          <w:p>
            <w:pPr>
              <w:pStyle w:val="13"/>
            </w:pPr>
            <w:r>
              <w:t>2210201</w:t>
            </w:r>
          </w:p>
        </w:tc>
        <w:tc>
          <w:tcPr>
            <w:tcW w:w="1559" w:type="dxa"/>
            <w:vAlign w:val="center"/>
          </w:tcPr>
          <w:p>
            <w:pPr>
              <w:pStyle w:val="13"/>
            </w:pPr>
            <w:r>
              <w:t>住房公积金</w:t>
            </w:r>
          </w:p>
        </w:tc>
        <w:tc>
          <w:tcPr>
            <w:tcW w:w="1134" w:type="dxa"/>
            <w:vAlign w:val="center"/>
          </w:tcPr>
          <w:p>
            <w:pPr>
              <w:pStyle w:val="12"/>
            </w:pPr>
            <w:r>
              <w:t>1.94</w:t>
            </w:r>
          </w:p>
        </w:tc>
        <w:tc>
          <w:tcPr>
            <w:tcW w:w="1134" w:type="dxa"/>
            <w:vAlign w:val="center"/>
          </w:tcPr>
          <w:p>
            <w:pPr>
              <w:pStyle w:val="12"/>
            </w:pPr>
            <w:r>
              <w:t>1.94</w:t>
            </w:r>
          </w:p>
        </w:tc>
        <w:tc>
          <w:tcPr>
            <w:tcW w:w="1134" w:type="dxa"/>
            <w:vAlign w:val="center"/>
          </w:tcPr>
          <w:p>
            <w:pPr>
              <w:pStyle w:val="12"/>
            </w:pPr>
            <w:r>
              <w:t>1.94</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2" w:name="_Toc_2_2_0000000003"/>
      <w:r>
        <w:rPr>
          <w:rFonts w:ascii="方正小标宋_GBK" w:hAnsi="方正小标宋_GBK" w:eastAsia="方正小标宋_GBK" w:cs="方正小标宋_GBK"/>
          <w:color w:val="000000"/>
          <w:sz w:val="36"/>
        </w:rPr>
        <w:t>部门预算支出总表</w:t>
      </w:r>
      <w:bookmarkEnd w:id="2"/>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pPr>
              <w:pStyle w:val="10"/>
            </w:pPr>
            <w:r>
              <w:t>224中共顺平县委网络安全和信息化委员会办公室</w:t>
            </w:r>
          </w:p>
        </w:tc>
        <w:tc>
          <w:tcPr>
            <w:tcW w:w="2722" w:type="dxa"/>
            <w:gridSpan w:val="2"/>
            <w:tcBorders>
              <w:top w:val="single" w:color="FFFFFF" w:sz="6" w:space="0"/>
              <w:left w:val="single" w:color="FFFFFF" w:sz="6" w:space="0"/>
              <w:right w:val="single" w:color="FFFFFF" w:sz="6" w:space="0"/>
            </w:tcBorders>
            <w:vAlign w:val="center"/>
          </w:tcPr>
          <w:p>
            <w:pPr>
              <w:pStyle w:val="9"/>
            </w:pPr>
            <w:r>
              <w:t>预算年度：2025</w:t>
            </w:r>
          </w:p>
        </w:tc>
        <w:tc>
          <w:tcPr>
            <w:tcW w:w="5444" w:type="dxa"/>
            <w:gridSpan w:val="4"/>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5527" w:type="dxa"/>
            <w:gridSpan w:val="2"/>
            <w:vAlign w:val="center"/>
          </w:tcPr>
          <w:p>
            <w:pPr>
              <w:pStyle w:val="11"/>
            </w:pPr>
            <w:r>
              <w:t>功能分类科目</w:t>
            </w:r>
          </w:p>
        </w:tc>
        <w:tc>
          <w:tcPr>
            <w:tcW w:w="1361" w:type="dxa"/>
            <w:vMerge w:val="restart"/>
            <w:vAlign w:val="center"/>
          </w:tcPr>
          <w:p>
            <w:pPr>
              <w:pStyle w:val="11"/>
            </w:pPr>
            <w:r>
              <w:t>合计</w:t>
            </w:r>
          </w:p>
        </w:tc>
        <w:tc>
          <w:tcPr>
            <w:tcW w:w="1361" w:type="dxa"/>
            <w:vMerge w:val="restart"/>
            <w:vAlign w:val="center"/>
          </w:tcPr>
          <w:p>
            <w:pPr>
              <w:pStyle w:val="11"/>
            </w:pPr>
            <w:r>
              <w:t>基本支出</w:t>
            </w:r>
          </w:p>
        </w:tc>
        <w:tc>
          <w:tcPr>
            <w:tcW w:w="1361" w:type="dxa"/>
            <w:vMerge w:val="restart"/>
            <w:vAlign w:val="center"/>
          </w:tcPr>
          <w:p>
            <w:pPr>
              <w:pStyle w:val="11"/>
            </w:pPr>
            <w:r>
              <w:t>项目支出</w:t>
            </w:r>
          </w:p>
        </w:tc>
        <w:tc>
          <w:tcPr>
            <w:tcW w:w="1361" w:type="dxa"/>
            <w:vMerge w:val="restart"/>
            <w:vAlign w:val="center"/>
          </w:tcPr>
          <w:p>
            <w:pPr>
              <w:pStyle w:val="11"/>
            </w:pPr>
            <w:r>
              <w:t>经营支出</w:t>
            </w:r>
          </w:p>
        </w:tc>
        <w:tc>
          <w:tcPr>
            <w:tcW w:w="1361" w:type="dxa"/>
            <w:vMerge w:val="restart"/>
            <w:vAlign w:val="center"/>
          </w:tcPr>
          <w:p>
            <w:pPr>
              <w:pStyle w:val="11"/>
            </w:pPr>
            <w:r>
              <w:t>上解上级     支出</w:t>
            </w:r>
          </w:p>
        </w:tc>
        <w:tc>
          <w:tcPr>
            <w:tcW w:w="1361" w:type="dxa"/>
            <w:vMerge w:val="restart"/>
            <w:vAlign w:val="center"/>
          </w:tcPr>
          <w:p>
            <w:pPr>
              <w:pStyle w:val="11"/>
            </w:pPr>
            <w:r>
              <w:t>对附属单位补助支出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992" w:type="dxa"/>
            <w:vAlign w:val="center"/>
          </w:tcPr>
          <w:p>
            <w:pPr>
              <w:pStyle w:val="11"/>
            </w:pPr>
            <w:r>
              <w:t>科目    编码</w:t>
            </w:r>
          </w:p>
        </w:tc>
        <w:tc>
          <w:tcPr>
            <w:tcW w:w="4535" w:type="dxa"/>
            <w:vAlign w:val="center"/>
          </w:tcPr>
          <w:p>
            <w:pPr>
              <w:pStyle w:val="11"/>
            </w:pPr>
            <w:r>
              <w:t>科目名称</w:t>
            </w: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992" w:type="dxa"/>
            <w:vAlign w:val="center"/>
          </w:tcPr>
          <w:p>
            <w:pPr>
              <w:pStyle w:val="11"/>
            </w:pPr>
            <w:r>
              <w:t>1</w:t>
            </w:r>
          </w:p>
        </w:tc>
        <w:tc>
          <w:tcPr>
            <w:tcW w:w="4535" w:type="dxa"/>
            <w:vAlign w:val="center"/>
          </w:tcPr>
          <w:p>
            <w:pPr>
              <w:pStyle w:val="11"/>
            </w:pPr>
            <w:r>
              <w:t>2</w:t>
            </w:r>
          </w:p>
        </w:tc>
        <w:tc>
          <w:tcPr>
            <w:tcW w:w="1361" w:type="dxa"/>
            <w:vAlign w:val="center"/>
          </w:tcPr>
          <w:p>
            <w:pPr>
              <w:pStyle w:val="11"/>
            </w:pPr>
            <w:r>
              <w:t>3</w:t>
            </w:r>
          </w:p>
        </w:tc>
        <w:tc>
          <w:tcPr>
            <w:tcW w:w="1361" w:type="dxa"/>
            <w:vAlign w:val="center"/>
          </w:tcPr>
          <w:p>
            <w:pPr>
              <w:pStyle w:val="11"/>
            </w:pPr>
            <w:r>
              <w:t>4</w:t>
            </w:r>
          </w:p>
        </w:tc>
        <w:tc>
          <w:tcPr>
            <w:tcW w:w="1361" w:type="dxa"/>
            <w:vAlign w:val="center"/>
          </w:tcPr>
          <w:p>
            <w:pPr>
              <w:pStyle w:val="11"/>
            </w:pPr>
            <w:r>
              <w:t>5</w:t>
            </w:r>
          </w:p>
        </w:tc>
        <w:tc>
          <w:tcPr>
            <w:tcW w:w="1361" w:type="dxa"/>
            <w:vAlign w:val="center"/>
          </w:tcPr>
          <w:p>
            <w:pPr>
              <w:pStyle w:val="11"/>
            </w:pPr>
            <w:r>
              <w:t>6</w:t>
            </w:r>
          </w:p>
        </w:tc>
        <w:tc>
          <w:tcPr>
            <w:tcW w:w="1361" w:type="dxa"/>
            <w:vAlign w:val="center"/>
          </w:tcPr>
          <w:p>
            <w:pPr>
              <w:pStyle w:val="11"/>
            </w:pPr>
            <w:r>
              <w:t>7</w:t>
            </w:r>
          </w:p>
        </w:tc>
        <w:tc>
          <w:tcPr>
            <w:tcW w:w="1361" w:type="dxa"/>
            <w:vAlign w:val="center"/>
          </w:tcPr>
          <w:p>
            <w:pPr>
              <w:pStyle w:val="11"/>
            </w:pPr>
            <w:r>
              <w:t>8</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w:t>
            </w:r>
          </w:p>
        </w:tc>
        <w:tc>
          <w:tcPr>
            <w:tcW w:w="992" w:type="dxa"/>
            <w:vAlign w:val="center"/>
          </w:tcPr>
          <w:p>
            <w:pPr>
              <w:pStyle w:val="17"/>
            </w:pPr>
          </w:p>
        </w:tc>
        <w:tc>
          <w:tcPr>
            <w:tcW w:w="4535" w:type="dxa"/>
            <w:vAlign w:val="center"/>
          </w:tcPr>
          <w:p>
            <w:pPr>
              <w:pStyle w:val="15"/>
            </w:pPr>
            <w:r>
              <w:t>合计</w:t>
            </w:r>
          </w:p>
        </w:tc>
        <w:tc>
          <w:tcPr>
            <w:tcW w:w="1361" w:type="dxa"/>
            <w:vAlign w:val="center"/>
          </w:tcPr>
          <w:p>
            <w:pPr>
              <w:pStyle w:val="16"/>
            </w:pPr>
            <w:r>
              <w:t>41.44</w:t>
            </w:r>
          </w:p>
        </w:tc>
        <w:tc>
          <w:tcPr>
            <w:tcW w:w="1361" w:type="dxa"/>
            <w:vAlign w:val="center"/>
          </w:tcPr>
          <w:p>
            <w:pPr>
              <w:pStyle w:val="16"/>
            </w:pPr>
            <w:r>
              <w:t>41.44</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w:t>
            </w:r>
          </w:p>
        </w:tc>
        <w:tc>
          <w:tcPr>
            <w:tcW w:w="992" w:type="dxa"/>
            <w:vAlign w:val="center"/>
          </w:tcPr>
          <w:p>
            <w:pPr>
              <w:pStyle w:val="13"/>
            </w:pPr>
            <w:r>
              <w:t>201</w:t>
            </w:r>
          </w:p>
        </w:tc>
        <w:tc>
          <w:tcPr>
            <w:tcW w:w="4535" w:type="dxa"/>
            <w:vAlign w:val="center"/>
          </w:tcPr>
          <w:p>
            <w:pPr>
              <w:pStyle w:val="13"/>
            </w:pPr>
            <w:r>
              <w:t>一般公共服务支出</w:t>
            </w:r>
          </w:p>
        </w:tc>
        <w:tc>
          <w:tcPr>
            <w:tcW w:w="1361" w:type="dxa"/>
            <w:vAlign w:val="center"/>
          </w:tcPr>
          <w:p>
            <w:pPr>
              <w:pStyle w:val="12"/>
            </w:pPr>
            <w:r>
              <w:t>33.33</w:t>
            </w:r>
          </w:p>
        </w:tc>
        <w:tc>
          <w:tcPr>
            <w:tcW w:w="1361" w:type="dxa"/>
            <w:vAlign w:val="center"/>
          </w:tcPr>
          <w:p>
            <w:pPr>
              <w:pStyle w:val="12"/>
            </w:pPr>
            <w:r>
              <w:t>33.33</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w:t>
            </w:r>
          </w:p>
        </w:tc>
        <w:tc>
          <w:tcPr>
            <w:tcW w:w="992" w:type="dxa"/>
            <w:vAlign w:val="center"/>
          </w:tcPr>
          <w:p>
            <w:pPr>
              <w:pStyle w:val="13"/>
            </w:pPr>
            <w:r>
              <w:t>20137</w:t>
            </w:r>
          </w:p>
        </w:tc>
        <w:tc>
          <w:tcPr>
            <w:tcW w:w="4535" w:type="dxa"/>
            <w:vAlign w:val="center"/>
          </w:tcPr>
          <w:p>
            <w:pPr>
              <w:pStyle w:val="13"/>
            </w:pPr>
            <w:r>
              <w:t>网信事务</w:t>
            </w:r>
          </w:p>
        </w:tc>
        <w:tc>
          <w:tcPr>
            <w:tcW w:w="1361" w:type="dxa"/>
            <w:vAlign w:val="center"/>
          </w:tcPr>
          <w:p>
            <w:pPr>
              <w:pStyle w:val="12"/>
            </w:pPr>
            <w:r>
              <w:t>33.33</w:t>
            </w:r>
          </w:p>
        </w:tc>
        <w:tc>
          <w:tcPr>
            <w:tcW w:w="1361" w:type="dxa"/>
            <w:vAlign w:val="center"/>
          </w:tcPr>
          <w:p>
            <w:pPr>
              <w:pStyle w:val="12"/>
            </w:pPr>
            <w:r>
              <w:t>33.33</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4</w:t>
            </w:r>
          </w:p>
        </w:tc>
        <w:tc>
          <w:tcPr>
            <w:tcW w:w="992" w:type="dxa"/>
            <w:vAlign w:val="center"/>
          </w:tcPr>
          <w:p>
            <w:pPr>
              <w:pStyle w:val="13"/>
            </w:pPr>
            <w:r>
              <w:t>2013701</w:t>
            </w:r>
          </w:p>
        </w:tc>
        <w:tc>
          <w:tcPr>
            <w:tcW w:w="4535" w:type="dxa"/>
            <w:vAlign w:val="center"/>
          </w:tcPr>
          <w:p>
            <w:pPr>
              <w:pStyle w:val="13"/>
            </w:pPr>
            <w:r>
              <w:t>行政运行</w:t>
            </w:r>
          </w:p>
        </w:tc>
        <w:tc>
          <w:tcPr>
            <w:tcW w:w="1361" w:type="dxa"/>
            <w:vAlign w:val="center"/>
          </w:tcPr>
          <w:p>
            <w:pPr>
              <w:pStyle w:val="12"/>
            </w:pPr>
            <w:r>
              <w:t>33.33</w:t>
            </w:r>
          </w:p>
        </w:tc>
        <w:tc>
          <w:tcPr>
            <w:tcW w:w="1361" w:type="dxa"/>
            <w:vAlign w:val="center"/>
          </w:tcPr>
          <w:p>
            <w:pPr>
              <w:pStyle w:val="12"/>
            </w:pPr>
            <w:r>
              <w:t>33.33</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5</w:t>
            </w:r>
          </w:p>
        </w:tc>
        <w:tc>
          <w:tcPr>
            <w:tcW w:w="992" w:type="dxa"/>
            <w:vAlign w:val="center"/>
          </w:tcPr>
          <w:p>
            <w:pPr>
              <w:pStyle w:val="13"/>
            </w:pPr>
            <w:r>
              <w:t>208</w:t>
            </w:r>
          </w:p>
        </w:tc>
        <w:tc>
          <w:tcPr>
            <w:tcW w:w="4535" w:type="dxa"/>
            <w:vAlign w:val="center"/>
          </w:tcPr>
          <w:p>
            <w:pPr>
              <w:pStyle w:val="13"/>
            </w:pPr>
            <w:r>
              <w:t>社会保障和就业支出</w:t>
            </w:r>
          </w:p>
        </w:tc>
        <w:tc>
          <w:tcPr>
            <w:tcW w:w="1361" w:type="dxa"/>
            <w:vAlign w:val="center"/>
          </w:tcPr>
          <w:p>
            <w:pPr>
              <w:pStyle w:val="12"/>
            </w:pPr>
            <w:r>
              <w:t>4.22</w:t>
            </w:r>
          </w:p>
        </w:tc>
        <w:tc>
          <w:tcPr>
            <w:tcW w:w="1361" w:type="dxa"/>
            <w:vAlign w:val="center"/>
          </w:tcPr>
          <w:p>
            <w:pPr>
              <w:pStyle w:val="12"/>
            </w:pPr>
            <w:r>
              <w:t>4.22</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6</w:t>
            </w:r>
          </w:p>
        </w:tc>
        <w:tc>
          <w:tcPr>
            <w:tcW w:w="992" w:type="dxa"/>
            <w:vAlign w:val="center"/>
          </w:tcPr>
          <w:p>
            <w:pPr>
              <w:pStyle w:val="13"/>
            </w:pPr>
            <w:r>
              <w:t>20805</w:t>
            </w:r>
          </w:p>
        </w:tc>
        <w:tc>
          <w:tcPr>
            <w:tcW w:w="4535" w:type="dxa"/>
            <w:vAlign w:val="center"/>
          </w:tcPr>
          <w:p>
            <w:pPr>
              <w:pStyle w:val="13"/>
            </w:pPr>
            <w:r>
              <w:t>行政事业单位养老支出</w:t>
            </w:r>
          </w:p>
        </w:tc>
        <w:tc>
          <w:tcPr>
            <w:tcW w:w="1361" w:type="dxa"/>
            <w:vAlign w:val="center"/>
          </w:tcPr>
          <w:p>
            <w:pPr>
              <w:pStyle w:val="12"/>
            </w:pPr>
            <w:r>
              <w:t>4.22</w:t>
            </w:r>
          </w:p>
        </w:tc>
        <w:tc>
          <w:tcPr>
            <w:tcW w:w="1361" w:type="dxa"/>
            <w:vAlign w:val="center"/>
          </w:tcPr>
          <w:p>
            <w:pPr>
              <w:pStyle w:val="12"/>
            </w:pPr>
            <w:r>
              <w:t>4.22</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7</w:t>
            </w:r>
          </w:p>
        </w:tc>
        <w:tc>
          <w:tcPr>
            <w:tcW w:w="992" w:type="dxa"/>
            <w:vAlign w:val="center"/>
          </w:tcPr>
          <w:p>
            <w:pPr>
              <w:pStyle w:val="13"/>
            </w:pPr>
            <w:r>
              <w:t>2080505</w:t>
            </w:r>
          </w:p>
        </w:tc>
        <w:tc>
          <w:tcPr>
            <w:tcW w:w="4535" w:type="dxa"/>
            <w:vAlign w:val="center"/>
          </w:tcPr>
          <w:p>
            <w:pPr>
              <w:pStyle w:val="13"/>
            </w:pPr>
            <w:r>
              <w:t>机关事业单位基本养老保险缴费支出</w:t>
            </w:r>
          </w:p>
        </w:tc>
        <w:tc>
          <w:tcPr>
            <w:tcW w:w="1361" w:type="dxa"/>
            <w:vAlign w:val="center"/>
          </w:tcPr>
          <w:p>
            <w:pPr>
              <w:pStyle w:val="12"/>
            </w:pPr>
            <w:r>
              <w:t>4.22</w:t>
            </w:r>
          </w:p>
        </w:tc>
        <w:tc>
          <w:tcPr>
            <w:tcW w:w="1361" w:type="dxa"/>
            <w:vAlign w:val="center"/>
          </w:tcPr>
          <w:p>
            <w:pPr>
              <w:pStyle w:val="12"/>
            </w:pPr>
            <w:r>
              <w:t>4.22</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8</w:t>
            </w:r>
          </w:p>
        </w:tc>
        <w:tc>
          <w:tcPr>
            <w:tcW w:w="992" w:type="dxa"/>
            <w:vAlign w:val="center"/>
          </w:tcPr>
          <w:p>
            <w:pPr>
              <w:pStyle w:val="13"/>
            </w:pPr>
            <w:r>
              <w:t>210</w:t>
            </w:r>
          </w:p>
        </w:tc>
        <w:tc>
          <w:tcPr>
            <w:tcW w:w="4535" w:type="dxa"/>
            <w:vAlign w:val="center"/>
          </w:tcPr>
          <w:p>
            <w:pPr>
              <w:pStyle w:val="13"/>
            </w:pPr>
            <w:r>
              <w:t>卫生健康支出</w:t>
            </w:r>
          </w:p>
        </w:tc>
        <w:tc>
          <w:tcPr>
            <w:tcW w:w="1361" w:type="dxa"/>
            <w:vAlign w:val="center"/>
          </w:tcPr>
          <w:p>
            <w:pPr>
              <w:pStyle w:val="12"/>
            </w:pPr>
            <w:r>
              <w:t>1.95</w:t>
            </w:r>
          </w:p>
        </w:tc>
        <w:tc>
          <w:tcPr>
            <w:tcW w:w="1361" w:type="dxa"/>
            <w:vAlign w:val="center"/>
          </w:tcPr>
          <w:p>
            <w:pPr>
              <w:pStyle w:val="12"/>
            </w:pPr>
            <w:r>
              <w:t>1.95</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9</w:t>
            </w:r>
          </w:p>
        </w:tc>
        <w:tc>
          <w:tcPr>
            <w:tcW w:w="992" w:type="dxa"/>
            <w:vAlign w:val="center"/>
          </w:tcPr>
          <w:p>
            <w:pPr>
              <w:pStyle w:val="13"/>
            </w:pPr>
            <w:r>
              <w:t>21011</w:t>
            </w:r>
          </w:p>
        </w:tc>
        <w:tc>
          <w:tcPr>
            <w:tcW w:w="4535" w:type="dxa"/>
            <w:vAlign w:val="center"/>
          </w:tcPr>
          <w:p>
            <w:pPr>
              <w:pStyle w:val="13"/>
            </w:pPr>
            <w:r>
              <w:t>行政事业单位医疗</w:t>
            </w:r>
          </w:p>
        </w:tc>
        <w:tc>
          <w:tcPr>
            <w:tcW w:w="1361" w:type="dxa"/>
            <w:vAlign w:val="center"/>
          </w:tcPr>
          <w:p>
            <w:pPr>
              <w:pStyle w:val="12"/>
            </w:pPr>
            <w:r>
              <w:t>1.95</w:t>
            </w:r>
          </w:p>
        </w:tc>
        <w:tc>
          <w:tcPr>
            <w:tcW w:w="1361" w:type="dxa"/>
            <w:vAlign w:val="center"/>
          </w:tcPr>
          <w:p>
            <w:pPr>
              <w:pStyle w:val="12"/>
            </w:pPr>
            <w:r>
              <w:t>1.95</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10</w:t>
            </w:r>
          </w:p>
        </w:tc>
        <w:tc>
          <w:tcPr>
            <w:tcW w:w="992" w:type="dxa"/>
            <w:vAlign w:val="center"/>
          </w:tcPr>
          <w:p>
            <w:pPr>
              <w:pStyle w:val="13"/>
            </w:pPr>
            <w:r>
              <w:t>2101101</w:t>
            </w:r>
          </w:p>
        </w:tc>
        <w:tc>
          <w:tcPr>
            <w:tcW w:w="4535" w:type="dxa"/>
            <w:vAlign w:val="center"/>
          </w:tcPr>
          <w:p>
            <w:pPr>
              <w:pStyle w:val="13"/>
            </w:pPr>
            <w:r>
              <w:t>行政单位医疗</w:t>
            </w:r>
          </w:p>
        </w:tc>
        <w:tc>
          <w:tcPr>
            <w:tcW w:w="1361" w:type="dxa"/>
            <w:vAlign w:val="center"/>
          </w:tcPr>
          <w:p>
            <w:pPr>
              <w:pStyle w:val="12"/>
            </w:pPr>
            <w:r>
              <w:t>1.95</w:t>
            </w:r>
          </w:p>
        </w:tc>
        <w:tc>
          <w:tcPr>
            <w:tcW w:w="1361" w:type="dxa"/>
            <w:vAlign w:val="center"/>
          </w:tcPr>
          <w:p>
            <w:pPr>
              <w:pStyle w:val="12"/>
            </w:pPr>
            <w:r>
              <w:t>1.95</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11</w:t>
            </w:r>
          </w:p>
        </w:tc>
        <w:tc>
          <w:tcPr>
            <w:tcW w:w="992" w:type="dxa"/>
            <w:vAlign w:val="center"/>
          </w:tcPr>
          <w:p>
            <w:pPr>
              <w:pStyle w:val="13"/>
            </w:pPr>
            <w:r>
              <w:t>221</w:t>
            </w:r>
          </w:p>
        </w:tc>
        <w:tc>
          <w:tcPr>
            <w:tcW w:w="4535" w:type="dxa"/>
            <w:vAlign w:val="center"/>
          </w:tcPr>
          <w:p>
            <w:pPr>
              <w:pStyle w:val="13"/>
            </w:pPr>
            <w:r>
              <w:t>住房保障支出</w:t>
            </w:r>
          </w:p>
        </w:tc>
        <w:tc>
          <w:tcPr>
            <w:tcW w:w="1361" w:type="dxa"/>
            <w:vAlign w:val="center"/>
          </w:tcPr>
          <w:p>
            <w:pPr>
              <w:pStyle w:val="12"/>
            </w:pPr>
            <w:r>
              <w:t>1.94</w:t>
            </w:r>
          </w:p>
        </w:tc>
        <w:tc>
          <w:tcPr>
            <w:tcW w:w="1361" w:type="dxa"/>
            <w:vAlign w:val="center"/>
          </w:tcPr>
          <w:p>
            <w:pPr>
              <w:pStyle w:val="12"/>
            </w:pPr>
            <w:r>
              <w:t>1.94</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12</w:t>
            </w:r>
          </w:p>
        </w:tc>
        <w:tc>
          <w:tcPr>
            <w:tcW w:w="992" w:type="dxa"/>
            <w:vAlign w:val="center"/>
          </w:tcPr>
          <w:p>
            <w:pPr>
              <w:pStyle w:val="13"/>
            </w:pPr>
            <w:r>
              <w:t>22102</w:t>
            </w:r>
          </w:p>
        </w:tc>
        <w:tc>
          <w:tcPr>
            <w:tcW w:w="4535" w:type="dxa"/>
            <w:vAlign w:val="center"/>
          </w:tcPr>
          <w:p>
            <w:pPr>
              <w:pStyle w:val="13"/>
            </w:pPr>
            <w:r>
              <w:t>住房改革支出</w:t>
            </w:r>
          </w:p>
        </w:tc>
        <w:tc>
          <w:tcPr>
            <w:tcW w:w="1361" w:type="dxa"/>
            <w:vAlign w:val="center"/>
          </w:tcPr>
          <w:p>
            <w:pPr>
              <w:pStyle w:val="12"/>
            </w:pPr>
            <w:r>
              <w:t>1.94</w:t>
            </w:r>
          </w:p>
        </w:tc>
        <w:tc>
          <w:tcPr>
            <w:tcW w:w="1361" w:type="dxa"/>
            <w:vAlign w:val="center"/>
          </w:tcPr>
          <w:p>
            <w:pPr>
              <w:pStyle w:val="12"/>
            </w:pPr>
            <w:r>
              <w:t>1.94</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13</w:t>
            </w:r>
          </w:p>
        </w:tc>
        <w:tc>
          <w:tcPr>
            <w:tcW w:w="992" w:type="dxa"/>
            <w:vAlign w:val="center"/>
          </w:tcPr>
          <w:p>
            <w:pPr>
              <w:pStyle w:val="13"/>
            </w:pPr>
            <w:r>
              <w:t>2210201</w:t>
            </w:r>
          </w:p>
        </w:tc>
        <w:tc>
          <w:tcPr>
            <w:tcW w:w="4535" w:type="dxa"/>
            <w:vAlign w:val="center"/>
          </w:tcPr>
          <w:p>
            <w:pPr>
              <w:pStyle w:val="13"/>
            </w:pPr>
            <w:r>
              <w:t>住房公积金</w:t>
            </w:r>
          </w:p>
        </w:tc>
        <w:tc>
          <w:tcPr>
            <w:tcW w:w="1361" w:type="dxa"/>
            <w:vAlign w:val="center"/>
          </w:tcPr>
          <w:p>
            <w:pPr>
              <w:pStyle w:val="12"/>
            </w:pPr>
            <w:r>
              <w:t>1.94</w:t>
            </w:r>
          </w:p>
        </w:tc>
        <w:tc>
          <w:tcPr>
            <w:tcW w:w="1361" w:type="dxa"/>
            <w:vAlign w:val="center"/>
          </w:tcPr>
          <w:p>
            <w:pPr>
              <w:pStyle w:val="12"/>
            </w:pPr>
            <w:r>
              <w:t>1.94</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3" w:name="_Toc_2_2_0000000004"/>
      <w:r>
        <w:rPr>
          <w:rFonts w:ascii="方正小标宋_GBK" w:hAnsi="方正小标宋_GBK" w:eastAsia="方正小标宋_GBK" w:cs="方正小标宋_GBK"/>
          <w:color w:val="000000"/>
          <w:sz w:val="36"/>
        </w:rPr>
        <w:t>部门预算财政拨款收支总表</w:t>
      </w:r>
      <w:bookmarkEnd w:id="3"/>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pPr>
              <w:pStyle w:val="10"/>
            </w:pPr>
            <w:r>
              <w:t>224中共顺平县委网络安全和信息化委员会办公室</w:t>
            </w:r>
          </w:p>
        </w:tc>
        <w:tc>
          <w:tcPr>
            <w:tcW w:w="3402" w:type="dxa"/>
            <w:tcBorders>
              <w:top w:val="single" w:color="FFFFFF" w:sz="6" w:space="0"/>
              <w:left w:val="single" w:color="FFFFFF" w:sz="6" w:space="0"/>
              <w:right w:val="single" w:color="FFFFFF" w:sz="6" w:space="0"/>
            </w:tcBorders>
            <w:vAlign w:val="center"/>
          </w:tcPr>
          <w:p>
            <w:pPr>
              <w:pStyle w:val="9"/>
            </w:pPr>
            <w:r>
              <w:t>预算年度：2025</w:t>
            </w:r>
          </w:p>
        </w:tc>
        <w:tc>
          <w:tcPr>
            <w:tcW w:w="5896" w:type="dxa"/>
            <w:gridSpan w:val="4"/>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4876" w:type="dxa"/>
            <w:gridSpan w:val="2"/>
            <w:vAlign w:val="center"/>
          </w:tcPr>
          <w:p>
            <w:pPr>
              <w:pStyle w:val="11"/>
            </w:pPr>
            <w:r>
              <w:t>收入</w:t>
            </w:r>
          </w:p>
        </w:tc>
        <w:tc>
          <w:tcPr>
            <w:tcW w:w="9298" w:type="dxa"/>
            <w:gridSpan w:val="5"/>
            <w:vAlign w:val="center"/>
          </w:tcPr>
          <w:p>
            <w:pPr>
              <w:pStyle w:val="11"/>
            </w:pPr>
            <w:r>
              <w:t>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3402" w:type="dxa"/>
            <w:vAlign w:val="center"/>
          </w:tcPr>
          <w:p>
            <w:pPr>
              <w:pStyle w:val="11"/>
            </w:pPr>
            <w:r>
              <w:t>项  目</w:t>
            </w:r>
          </w:p>
        </w:tc>
        <w:tc>
          <w:tcPr>
            <w:tcW w:w="1474" w:type="dxa"/>
            <w:vAlign w:val="center"/>
          </w:tcPr>
          <w:p>
            <w:pPr>
              <w:pStyle w:val="11"/>
            </w:pPr>
            <w:r>
              <w:t>金额</w:t>
            </w:r>
          </w:p>
        </w:tc>
        <w:tc>
          <w:tcPr>
            <w:tcW w:w="3402" w:type="dxa"/>
            <w:vAlign w:val="center"/>
          </w:tcPr>
          <w:p>
            <w:pPr>
              <w:pStyle w:val="11"/>
            </w:pPr>
            <w:r>
              <w:t>项  目</w:t>
            </w:r>
          </w:p>
        </w:tc>
        <w:tc>
          <w:tcPr>
            <w:tcW w:w="1474" w:type="dxa"/>
            <w:vAlign w:val="center"/>
          </w:tcPr>
          <w:p>
            <w:pPr>
              <w:pStyle w:val="11"/>
            </w:pPr>
            <w:r>
              <w:t>合计</w:t>
            </w:r>
          </w:p>
        </w:tc>
        <w:tc>
          <w:tcPr>
            <w:tcW w:w="1474" w:type="dxa"/>
            <w:vAlign w:val="center"/>
          </w:tcPr>
          <w:p>
            <w:pPr>
              <w:pStyle w:val="11"/>
            </w:pPr>
            <w:r>
              <w:t>一般公共预算财政拨款</w:t>
            </w:r>
          </w:p>
        </w:tc>
        <w:tc>
          <w:tcPr>
            <w:tcW w:w="1474" w:type="dxa"/>
            <w:vAlign w:val="center"/>
          </w:tcPr>
          <w:p>
            <w:pPr>
              <w:pStyle w:val="11"/>
            </w:pPr>
            <w:r>
              <w:t>政府性基金预算财政    拨款</w:t>
            </w:r>
          </w:p>
        </w:tc>
        <w:tc>
          <w:tcPr>
            <w:tcW w:w="1474" w:type="dxa"/>
            <w:vAlign w:val="center"/>
          </w:tcPr>
          <w:p>
            <w:pPr>
              <w:pStyle w:val="11"/>
            </w:pPr>
            <w:r>
              <w:t>国有资本经营预算财政拨款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3402" w:type="dxa"/>
            <w:vAlign w:val="center"/>
          </w:tcPr>
          <w:p>
            <w:pPr>
              <w:pStyle w:val="11"/>
            </w:pPr>
            <w:r>
              <w:t>1</w:t>
            </w:r>
          </w:p>
        </w:tc>
        <w:tc>
          <w:tcPr>
            <w:tcW w:w="1474" w:type="dxa"/>
            <w:vAlign w:val="center"/>
          </w:tcPr>
          <w:p>
            <w:pPr>
              <w:pStyle w:val="11"/>
            </w:pPr>
            <w:r>
              <w:t>2</w:t>
            </w:r>
          </w:p>
        </w:tc>
        <w:tc>
          <w:tcPr>
            <w:tcW w:w="3402" w:type="dxa"/>
            <w:vAlign w:val="center"/>
          </w:tcPr>
          <w:p>
            <w:pPr>
              <w:pStyle w:val="11"/>
            </w:pPr>
            <w:r>
              <w:t>3</w:t>
            </w:r>
          </w:p>
        </w:tc>
        <w:tc>
          <w:tcPr>
            <w:tcW w:w="1474" w:type="dxa"/>
            <w:vAlign w:val="center"/>
          </w:tcPr>
          <w:p>
            <w:pPr>
              <w:pStyle w:val="11"/>
            </w:pPr>
            <w:r>
              <w:t>4</w:t>
            </w:r>
          </w:p>
        </w:tc>
        <w:tc>
          <w:tcPr>
            <w:tcW w:w="1474" w:type="dxa"/>
            <w:vAlign w:val="center"/>
          </w:tcPr>
          <w:p>
            <w:pPr>
              <w:pStyle w:val="11"/>
            </w:pPr>
            <w:r>
              <w:t>5</w:t>
            </w:r>
          </w:p>
        </w:tc>
        <w:tc>
          <w:tcPr>
            <w:tcW w:w="1474" w:type="dxa"/>
            <w:vAlign w:val="center"/>
          </w:tcPr>
          <w:p>
            <w:pPr>
              <w:pStyle w:val="11"/>
            </w:pPr>
            <w:r>
              <w:t>6</w:t>
            </w:r>
          </w:p>
        </w:tc>
        <w:tc>
          <w:tcPr>
            <w:tcW w:w="1474" w:type="dxa"/>
            <w:vAlign w:val="center"/>
          </w:tcPr>
          <w:p>
            <w:pPr>
              <w:pStyle w:val="11"/>
            </w:pPr>
            <w:r>
              <w:t>7</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w:t>
            </w:r>
          </w:p>
        </w:tc>
        <w:tc>
          <w:tcPr>
            <w:tcW w:w="3402" w:type="dxa"/>
            <w:vAlign w:val="center"/>
          </w:tcPr>
          <w:p>
            <w:pPr>
              <w:pStyle w:val="13"/>
            </w:pPr>
            <w:r>
              <w:t>一、一般公共预算拨款</w:t>
            </w:r>
          </w:p>
        </w:tc>
        <w:tc>
          <w:tcPr>
            <w:tcW w:w="1474" w:type="dxa"/>
            <w:vAlign w:val="center"/>
          </w:tcPr>
          <w:p>
            <w:pPr>
              <w:pStyle w:val="12"/>
            </w:pPr>
            <w:r>
              <w:t>41.44</w:t>
            </w:r>
          </w:p>
        </w:tc>
        <w:tc>
          <w:tcPr>
            <w:tcW w:w="3402" w:type="dxa"/>
            <w:vAlign w:val="center"/>
          </w:tcPr>
          <w:p>
            <w:pPr>
              <w:pStyle w:val="13"/>
            </w:pPr>
            <w:r>
              <w:t>一、一般公共服务支出</w:t>
            </w:r>
          </w:p>
        </w:tc>
        <w:tc>
          <w:tcPr>
            <w:tcW w:w="1474" w:type="dxa"/>
            <w:vAlign w:val="center"/>
          </w:tcPr>
          <w:p>
            <w:pPr>
              <w:pStyle w:val="12"/>
            </w:pPr>
            <w:r>
              <w:t>33.33</w:t>
            </w:r>
          </w:p>
        </w:tc>
        <w:tc>
          <w:tcPr>
            <w:tcW w:w="1474" w:type="dxa"/>
            <w:vAlign w:val="center"/>
          </w:tcPr>
          <w:p>
            <w:pPr>
              <w:pStyle w:val="12"/>
            </w:pPr>
            <w:r>
              <w:t>33.33</w:t>
            </w: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w:t>
            </w:r>
          </w:p>
        </w:tc>
        <w:tc>
          <w:tcPr>
            <w:tcW w:w="3402" w:type="dxa"/>
            <w:vAlign w:val="center"/>
          </w:tcPr>
          <w:p>
            <w:pPr>
              <w:pStyle w:val="13"/>
            </w:pPr>
            <w:r>
              <w:t>二、政府性基金预算拨款</w:t>
            </w:r>
          </w:p>
        </w:tc>
        <w:tc>
          <w:tcPr>
            <w:tcW w:w="1474" w:type="dxa"/>
            <w:vAlign w:val="center"/>
          </w:tcPr>
          <w:p>
            <w:pPr>
              <w:pStyle w:val="12"/>
            </w:pPr>
          </w:p>
        </w:tc>
        <w:tc>
          <w:tcPr>
            <w:tcW w:w="3402" w:type="dxa"/>
            <w:vAlign w:val="center"/>
          </w:tcPr>
          <w:p>
            <w:pPr>
              <w:pStyle w:val="13"/>
            </w:pPr>
            <w:r>
              <w:t>二、外交支出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w:t>
            </w:r>
          </w:p>
        </w:tc>
        <w:tc>
          <w:tcPr>
            <w:tcW w:w="3402" w:type="dxa"/>
            <w:vAlign w:val="center"/>
          </w:tcPr>
          <w:p>
            <w:pPr>
              <w:pStyle w:val="13"/>
            </w:pPr>
            <w:r>
              <w:t>三、国有资本经营预算拨款</w:t>
            </w:r>
          </w:p>
        </w:tc>
        <w:tc>
          <w:tcPr>
            <w:tcW w:w="1474" w:type="dxa"/>
            <w:vAlign w:val="center"/>
          </w:tcPr>
          <w:p>
            <w:pPr>
              <w:pStyle w:val="12"/>
            </w:pPr>
          </w:p>
        </w:tc>
        <w:tc>
          <w:tcPr>
            <w:tcW w:w="3402" w:type="dxa"/>
            <w:vAlign w:val="center"/>
          </w:tcPr>
          <w:p>
            <w:pPr>
              <w:pStyle w:val="13"/>
            </w:pPr>
            <w:r>
              <w:t>三、国防支出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4</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四、公共安全支出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5</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五、教育支出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6</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六、科学技术支出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7</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七、文化旅游体育与传媒支出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8</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八、社会保障和就业支出</w:t>
            </w:r>
          </w:p>
        </w:tc>
        <w:tc>
          <w:tcPr>
            <w:tcW w:w="1474" w:type="dxa"/>
            <w:vAlign w:val="center"/>
          </w:tcPr>
          <w:p>
            <w:pPr>
              <w:pStyle w:val="12"/>
            </w:pPr>
            <w:r>
              <w:t>4.22</w:t>
            </w:r>
          </w:p>
        </w:tc>
        <w:tc>
          <w:tcPr>
            <w:tcW w:w="1474" w:type="dxa"/>
            <w:vAlign w:val="center"/>
          </w:tcPr>
          <w:p>
            <w:pPr>
              <w:pStyle w:val="12"/>
            </w:pPr>
            <w:r>
              <w:t>4.22</w:t>
            </w: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9</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九、社会保险基金支出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10</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十、卫生健康支出</w:t>
            </w:r>
          </w:p>
        </w:tc>
        <w:tc>
          <w:tcPr>
            <w:tcW w:w="1474" w:type="dxa"/>
            <w:vAlign w:val="center"/>
          </w:tcPr>
          <w:p>
            <w:pPr>
              <w:pStyle w:val="12"/>
            </w:pPr>
            <w:r>
              <w:t>1.95</w:t>
            </w:r>
          </w:p>
        </w:tc>
        <w:tc>
          <w:tcPr>
            <w:tcW w:w="1474" w:type="dxa"/>
            <w:vAlign w:val="center"/>
          </w:tcPr>
          <w:p>
            <w:pPr>
              <w:pStyle w:val="12"/>
            </w:pPr>
            <w:r>
              <w:t>1.95</w:t>
            </w: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11</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十一、节能环保支出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12</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十二、城乡社区支出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13</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十三、农林水支出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14</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十四、交通运输支出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15</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十五、资源勘探工业信息等支出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16</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十六、商业服务业等支出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17</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十七、金融支出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18</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十八、援助其他地区支出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19</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十九、自然资源海洋气象等支出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20</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二十、住房保障支出</w:t>
            </w:r>
          </w:p>
        </w:tc>
        <w:tc>
          <w:tcPr>
            <w:tcW w:w="1474" w:type="dxa"/>
            <w:vAlign w:val="center"/>
          </w:tcPr>
          <w:p>
            <w:pPr>
              <w:pStyle w:val="12"/>
            </w:pPr>
            <w:r>
              <w:t>1.94</w:t>
            </w:r>
          </w:p>
        </w:tc>
        <w:tc>
          <w:tcPr>
            <w:tcW w:w="1474" w:type="dxa"/>
            <w:vAlign w:val="center"/>
          </w:tcPr>
          <w:p>
            <w:pPr>
              <w:pStyle w:val="12"/>
            </w:pPr>
            <w:r>
              <w:t>1.94</w:t>
            </w: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21</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二十一、粮油物资储备支出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22</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二十二、国有资本经营预算支出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23</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二十三、灾害防治及应急管理支出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24</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二十四、预备费</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25</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二十五、其他支出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26</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二十六、转移性支出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27</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二十七、债务还本支出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28</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二十八、债务付息支出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29</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二十九、债务发行费用支出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30</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三十、抗疫特别国债安排的支出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31</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三十一、人行科目</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32</w:t>
            </w:r>
          </w:p>
        </w:tc>
        <w:tc>
          <w:tcPr>
            <w:tcW w:w="3402" w:type="dxa"/>
            <w:vAlign w:val="center"/>
          </w:tcPr>
          <w:p>
            <w:pPr>
              <w:pStyle w:val="15"/>
            </w:pPr>
            <w:r>
              <w:t>本年收入合计</w:t>
            </w:r>
          </w:p>
        </w:tc>
        <w:tc>
          <w:tcPr>
            <w:tcW w:w="1474" w:type="dxa"/>
            <w:vAlign w:val="center"/>
          </w:tcPr>
          <w:p>
            <w:pPr>
              <w:pStyle w:val="16"/>
            </w:pPr>
            <w:r>
              <w:t>41.44</w:t>
            </w:r>
          </w:p>
        </w:tc>
        <w:tc>
          <w:tcPr>
            <w:tcW w:w="3402" w:type="dxa"/>
            <w:vAlign w:val="center"/>
          </w:tcPr>
          <w:p>
            <w:pPr>
              <w:pStyle w:val="15"/>
            </w:pPr>
            <w:r>
              <w:t>本年支出合计</w:t>
            </w:r>
          </w:p>
        </w:tc>
        <w:tc>
          <w:tcPr>
            <w:tcW w:w="1474" w:type="dxa"/>
            <w:vAlign w:val="center"/>
          </w:tcPr>
          <w:p>
            <w:pPr>
              <w:pStyle w:val="16"/>
            </w:pPr>
            <w:r>
              <w:t>41.44</w:t>
            </w:r>
          </w:p>
        </w:tc>
        <w:tc>
          <w:tcPr>
            <w:tcW w:w="1474" w:type="dxa"/>
            <w:vAlign w:val="center"/>
          </w:tcPr>
          <w:p>
            <w:pPr>
              <w:pStyle w:val="16"/>
            </w:pPr>
            <w:r>
              <w:t>41.44</w:t>
            </w:r>
          </w:p>
        </w:tc>
        <w:tc>
          <w:tcPr>
            <w:tcW w:w="1474" w:type="dxa"/>
            <w:vAlign w:val="center"/>
          </w:tcPr>
          <w:p>
            <w:pPr>
              <w:pStyle w:val="16"/>
            </w:pPr>
          </w:p>
        </w:tc>
        <w:tc>
          <w:tcPr>
            <w:tcW w:w="1474" w:type="dxa"/>
            <w:vAlign w:val="center"/>
          </w:tcPr>
          <w:p>
            <w:pPr>
              <w:pStyle w:val="16"/>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33</w:t>
            </w:r>
          </w:p>
        </w:tc>
        <w:tc>
          <w:tcPr>
            <w:tcW w:w="3402" w:type="dxa"/>
            <w:vAlign w:val="center"/>
          </w:tcPr>
          <w:p>
            <w:pPr>
              <w:pStyle w:val="13"/>
            </w:pPr>
            <w:r>
              <w:t>年初财政拨款结转和结余</w:t>
            </w:r>
          </w:p>
        </w:tc>
        <w:tc>
          <w:tcPr>
            <w:tcW w:w="1474" w:type="dxa"/>
            <w:vAlign w:val="center"/>
          </w:tcPr>
          <w:p>
            <w:pPr>
              <w:pStyle w:val="12"/>
            </w:pPr>
          </w:p>
        </w:tc>
        <w:tc>
          <w:tcPr>
            <w:tcW w:w="3402" w:type="dxa"/>
            <w:vAlign w:val="center"/>
          </w:tcPr>
          <w:p>
            <w:pPr>
              <w:pStyle w:val="13"/>
            </w:pPr>
            <w:r>
              <w:t>年末财政拨款结转和结余</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34</w:t>
            </w:r>
          </w:p>
        </w:tc>
        <w:tc>
          <w:tcPr>
            <w:tcW w:w="3402" w:type="dxa"/>
            <w:vAlign w:val="center"/>
          </w:tcPr>
          <w:p>
            <w:pPr>
              <w:pStyle w:val="13"/>
            </w:pPr>
            <w:r>
              <w:t>一、一般公共预算拨款</w:t>
            </w:r>
          </w:p>
        </w:tc>
        <w:tc>
          <w:tcPr>
            <w:tcW w:w="1474" w:type="dxa"/>
            <w:vAlign w:val="center"/>
          </w:tcPr>
          <w:p>
            <w:pPr>
              <w:pStyle w:val="12"/>
            </w:pPr>
          </w:p>
        </w:tc>
        <w:tc>
          <w:tcPr>
            <w:tcW w:w="3402" w:type="dxa"/>
            <w:vAlign w:val="center"/>
          </w:tcPr>
          <w:p>
            <w:pPr>
              <w:pStyle w:val="13"/>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35</w:t>
            </w:r>
          </w:p>
        </w:tc>
        <w:tc>
          <w:tcPr>
            <w:tcW w:w="3402" w:type="dxa"/>
            <w:vAlign w:val="center"/>
          </w:tcPr>
          <w:p>
            <w:pPr>
              <w:pStyle w:val="13"/>
            </w:pPr>
            <w:r>
              <w:t>二、政府性基金预算拨款</w:t>
            </w:r>
          </w:p>
        </w:tc>
        <w:tc>
          <w:tcPr>
            <w:tcW w:w="1474" w:type="dxa"/>
            <w:vAlign w:val="center"/>
          </w:tcPr>
          <w:p>
            <w:pPr>
              <w:pStyle w:val="12"/>
            </w:pPr>
          </w:p>
        </w:tc>
        <w:tc>
          <w:tcPr>
            <w:tcW w:w="3402" w:type="dxa"/>
            <w:vAlign w:val="center"/>
          </w:tcPr>
          <w:p>
            <w:pPr>
              <w:pStyle w:val="13"/>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36</w:t>
            </w:r>
          </w:p>
        </w:tc>
        <w:tc>
          <w:tcPr>
            <w:tcW w:w="3402" w:type="dxa"/>
            <w:vAlign w:val="center"/>
          </w:tcPr>
          <w:p>
            <w:pPr>
              <w:pStyle w:val="13"/>
            </w:pPr>
            <w:r>
              <w:t>三、国有资本经营预算拨款</w:t>
            </w:r>
          </w:p>
        </w:tc>
        <w:tc>
          <w:tcPr>
            <w:tcW w:w="1474" w:type="dxa"/>
            <w:vAlign w:val="center"/>
          </w:tcPr>
          <w:p>
            <w:pPr>
              <w:pStyle w:val="12"/>
            </w:pPr>
          </w:p>
        </w:tc>
        <w:tc>
          <w:tcPr>
            <w:tcW w:w="3402" w:type="dxa"/>
            <w:vAlign w:val="center"/>
          </w:tcPr>
          <w:p>
            <w:pPr>
              <w:pStyle w:val="13"/>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37</w:t>
            </w:r>
          </w:p>
        </w:tc>
        <w:tc>
          <w:tcPr>
            <w:tcW w:w="3402" w:type="dxa"/>
            <w:vAlign w:val="center"/>
          </w:tcPr>
          <w:p>
            <w:pPr>
              <w:pStyle w:val="15"/>
            </w:pPr>
            <w:r>
              <w:t>收入总计</w:t>
            </w:r>
          </w:p>
        </w:tc>
        <w:tc>
          <w:tcPr>
            <w:tcW w:w="1474" w:type="dxa"/>
            <w:vAlign w:val="center"/>
          </w:tcPr>
          <w:p>
            <w:pPr>
              <w:pStyle w:val="16"/>
            </w:pPr>
            <w:r>
              <w:t>41.44</w:t>
            </w:r>
          </w:p>
        </w:tc>
        <w:tc>
          <w:tcPr>
            <w:tcW w:w="3402" w:type="dxa"/>
            <w:vAlign w:val="center"/>
          </w:tcPr>
          <w:p>
            <w:pPr>
              <w:pStyle w:val="15"/>
            </w:pPr>
            <w:r>
              <w:t>支出总计</w:t>
            </w:r>
          </w:p>
        </w:tc>
        <w:tc>
          <w:tcPr>
            <w:tcW w:w="1474" w:type="dxa"/>
            <w:vAlign w:val="center"/>
          </w:tcPr>
          <w:p>
            <w:pPr>
              <w:pStyle w:val="16"/>
            </w:pPr>
            <w:r>
              <w:t>41.44</w:t>
            </w:r>
          </w:p>
        </w:tc>
        <w:tc>
          <w:tcPr>
            <w:tcW w:w="1474" w:type="dxa"/>
            <w:vAlign w:val="center"/>
          </w:tcPr>
          <w:p>
            <w:pPr>
              <w:pStyle w:val="16"/>
            </w:pPr>
            <w:r>
              <w:t>41.44</w:t>
            </w:r>
          </w:p>
        </w:tc>
        <w:tc>
          <w:tcPr>
            <w:tcW w:w="1474" w:type="dxa"/>
            <w:vAlign w:val="center"/>
          </w:tcPr>
          <w:p>
            <w:pPr>
              <w:pStyle w:val="16"/>
            </w:pPr>
          </w:p>
        </w:tc>
        <w:tc>
          <w:tcPr>
            <w:tcW w:w="1474" w:type="dxa"/>
            <w:vAlign w:val="center"/>
          </w:tcPr>
          <w:p>
            <w:pPr>
              <w:pStyle w:val="16"/>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4" w:name="_Toc_2_2_0000000005"/>
      <w:r>
        <w:rPr>
          <w:rFonts w:ascii="方正小标宋_GBK" w:hAnsi="方正小标宋_GBK" w:eastAsia="方正小标宋_GBK" w:cs="方正小标宋_GBK"/>
          <w:color w:val="000000"/>
          <w:sz w:val="36"/>
        </w:rPr>
        <w:t>部门预算一般公共预算财政拨款支出表</w:t>
      </w:r>
      <w:bookmarkEnd w:id="4"/>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0"/>
            </w:pPr>
            <w:r>
              <w:t>224中共顺平县委网络安全和信息化委员会办公室</w:t>
            </w:r>
          </w:p>
        </w:tc>
        <w:tc>
          <w:tcPr>
            <w:tcW w:w="2551" w:type="dxa"/>
            <w:tcBorders>
              <w:top w:val="single" w:color="FFFFFF" w:sz="6" w:space="0"/>
              <w:left w:val="single" w:color="FFFFFF" w:sz="6" w:space="0"/>
              <w:right w:val="single" w:color="FFFFFF" w:sz="6" w:space="0"/>
            </w:tcBorders>
            <w:vAlign w:val="center"/>
          </w:tcPr>
          <w:p>
            <w:pPr>
              <w:pStyle w:val="9"/>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5726" w:type="dxa"/>
            <w:gridSpan w:val="2"/>
            <w:vAlign w:val="center"/>
          </w:tcPr>
          <w:p>
            <w:pPr>
              <w:pStyle w:val="11"/>
            </w:pPr>
            <w:r>
              <w:t>功能分类科目</w:t>
            </w:r>
          </w:p>
        </w:tc>
        <w:tc>
          <w:tcPr>
            <w:tcW w:w="2551" w:type="dxa"/>
            <w:vMerge w:val="restart"/>
            <w:vAlign w:val="center"/>
          </w:tcPr>
          <w:p>
            <w:pPr>
              <w:pStyle w:val="11"/>
            </w:pPr>
            <w:r>
              <w:t>合计</w:t>
            </w:r>
          </w:p>
        </w:tc>
        <w:tc>
          <w:tcPr>
            <w:tcW w:w="2551" w:type="dxa"/>
            <w:vMerge w:val="restart"/>
            <w:vAlign w:val="center"/>
          </w:tcPr>
          <w:p>
            <w:pPr>
              <w:pStyle w:val="11"/>
            </w:pPr>
            <w:r>
              <w:t>基本支出</w:t>
            </w:r>
          </w:p>
        </w:tc>
        <w:tc>
          <w:tcPr>
            <w:tcW w:w="2551" w:type="dxa"/>
            <w:vMerge w:val="restart"/>
            <w:vAlign w:val="center"/>
          </w:tcPr>
          <w:p>
            <w:pPr>
              <w:pStyle w:val="11"/>
            </w:pPr>
            <w:r>
              <w:t>项目支出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1"/>
            </w:pPr>
            <w:r>
              <w:t>科目编码</w:t>
            </w:r>
          </w:p>
        </w:tc>
        <w:tc>
          <w:tcPr>
            <w:tcW w:w="4535" w:type="dxa"/>
            <w:vAlign w:val="center"/>
          </w:tcPr>
          <w:p>
            <w:pPr>
              <w:pStyle w:val="11"/>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1191" w:type="dxa"/>
            <w:vAlign w:val="center"/>
          </w:tcPr>
          <w:p>
            <w:pPr>
              <w:pStyle w:val="11"/>
            </w:pPr>
            <w:r>
              <w:t>1</w:t>
            </w:r>
          </w:p>
        </w:tc>
        <w:tc>
          <w:tcPr>
            <w:tcW w:w="4535" w:type="dxa"/>
            <w:vAlign w:val="center"/>
          </w:tcPr>
          <w:p>
            <w:pPr>
              <w:pStyle w:val="11"/>
            </w:pPr>
            <w:r>
              <w:t>2</w:t>
            </w:r>
          </w:p>
        </w:tc>
        <w:tc>
          <w:tcPr>
            <w:tcW w:w="2551" w:type="dxa"/>
            <w:vAlign w:val="center"/>
          </w:tcPr>
          <w:p>
            <w:pPr>
              <w:pStyle w:val="11"/>
            </w:pPr>
            <w:r>
              <w:t>3</w:t>
            </w:r>
          </w:p>
        </w:tc>
        <w:tc>
          <w:tcPr>
            <w:tcW w:w="2551" w:type="dxa"/>
            <w:vAlign w:val="center"/>
          </w:tcPr>
          <w:p>
            <w:pPr>
              <w:pStyle w:val="11"/>
            </w:pPr>
            <w:r>
              <w:t>4</w:t>
            </w:r>
          </w:p>
        </w:tc>
        <w:tc>
          <w:tcPr>
            <w:tcW w:w="2551" w:type="dxa"/>
            <w:vAlign w:val="center"/>
          </w:tcPr>
          <w:p>
            <w:pPr>
              <w:pStyle w:val="11"/>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w:t>
            </w:r>
          </w:p>
        </w:tc>
        <w:tc>
          <w:tcPr>
            <w:tcW w:w="1191" w:type="dxa"/>
            <w:vAlign w:val="center"/>
          </w:tcPr>
          <w:p>
            <w:pPr>
              <w:pStyle w:val="17"/>
            </w:pPr>
          </w:p>
        </w:tc>
        <w:tc>
          <w:tcPr>
            <w:tcW w:w="4535" w:type="dxa"/>
            <w:vAlign w:val="center"/>
          </w:tcPr>
          <w:p>
            <w:pPr>
              <w:pStyle w:val="15"/>
            </w:pPr>
            <w:r>
              <w:t>合计</w:t>
            </w:r>
          </w:p>
        </w:tc>
        <w:tc>
          <w:tcPr>
            <w:tcW w:w="2551" w:type="dxa"/>
            <w:vAlign w:val="center"/>
          </w:tcPr>
          <w:p>
            <w:pPr>
              <w:pStyle w:val="16"/>
            </w:pPr>
            <w:r>
              <w:t>41.44</w:t>
            </w:r>
          </w:p>
        </w:tc>
        <w:tc>
          <w:tcPr>
            <w:tcW w:w="2551" w:type="dxa"/>
            <w:vAlign w:val="center"/>
          </w:tcPr>
          <w:p>
            <w:pPr>
              <w:pStyle w:val="16"/>
            </w:pPr>
            <w:r>
              <w:t>41.44</w:t>
            </w:r>
          </w:p>
        </w:tc>
        <w:tc>
          <w:tcPr>
            <w:tcW w:w="2551" w:type="dxa"/>
            <w:vAlign w:val="center"/>
          </w:tcPr>
          <w:p>
            <w:pPr>
              <w:pStyle w:val="16"/>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w:t>
            </w:r>
          </w:p>
        </w:tc>
        <w:tc>
          <w:tcPr>
            <w:tcW w:w="1191" w:type="dxa"/>
            <w:vAlign w:val="center"/>
          </w:tcPr>
          <w:p>
            <w:pPr>
              <w:pStyle w:val="13"/>
            </w:pPr>
            <w:r>
              <w:t>201</w:t>
            </w:r>
          </w:p>
        </w:tc>
        <w:tc>
          <w:tcPr>
            <w:tcW w:w="4535" w:type="dxa"/>
            <w:vAlign w:val="center"/>
          </w:tcPr>
          <w:p>
            <w:pPr>
              <w:pStyle w:val="13"/>
            </w:pPr>
            <w:r>
              <w:t>一般公共服务支出</w:t>
            </w:r>
          </w:p>
        </w:tc>
        <w:tc>
          <w:tcPr>
            <w:tcW w:w="2551" w:type="dxa"/>
            <w:vAlign w:val="center"/>
          </w:tcPr>
          <w:p>
            <w:pPr>
              <w:pStyle w:val="12"/>
            </w:pPr>
            <w:r>
              <w:t>33.33</w:t>
            </w:r>
          </w:p>
        </w:tc>
        <w:tc>
          <w:tcPr>
            <w:tcW w:w="2551" w:type="dxa"/>
            <w:vAlign w:val="center"/>
          </w:tcPr>
          <w:p>
            <w:pPr>
              <w:pStyle w:val="12"/>
            </w:pPr>
            <w:r>
              <w:t>33.33</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w:t>
            </w:r>
          </w:p>
        </w:tc>
        <w:tc>
          <w:tcPr>
            <w:tcW w:w="1191" w:type="dxa"/>
            <w:vAlign w:val="center"/>
          </w:tcPr>
          <w:p>
            <w:pPr>
              <w:pStyle w:val="13"/>
            </w:pPr>
            <w:r>
              <w:t>20137</w:t>
            </w:r>
          </w:p>
        </w:tc>
        <w:tc>
          <w:tcPr>
            <w:tcW w:w="4535" w:type="dxa"/>
            <w:vAlign w:val="center"/>
          </w:tcPr>
          <w:p>
            <w:pPr>
              <w:pStyle w:val="13"/>
            </w:pPr>
            <w:r>
              <w:t>网信事务</w:t>
            </w:r>
          </w:p>
        </w:tc>
        <w:tc>
          <w:tcPr>
            <w:tcW w:w="2551" w:type="dxa"/>
            <w:vAlign w:val="center"/>
          </w:tcPr>
          <w:p>
            <w:pPr>
              <w:pStyle w:val="12"/>
            </w:pPr>
            <w:r>
              <w:t>33.33</w:t>
            </w:r>
          </w:p>
        </w:tc>
        <w:tc>
          <w:tcPr>
            <w:tcW w:w="2551" w:type="dxa"/>
            <w:vAlign w:val="center"/>
          </w:tcPr>
          <w:p>
            <w:pPr>
              <w:pStyle w:val="12"/>
            </w:pPr>
            <w:r>
              <w:t>33.33</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4</w:t>
            </w:r>
          </w:p>
        </w:tc>
        <w:tc>
          <w:tcPr>
            <w:tcW w:w="1191" w:type="dxa"/>
            <w:vAlign w:val="center"/>
          </w:tcPr>
          <w:p>
            <w:pPr>
              <w:pStyle w:val="13"/>
            </w:pPr>
            <w:r>
              <w:t>2013701</w:t>
            </w:r>
          </w:p>
        </w:tc>
        <w:tc>
          <w:tcPr>
            <w:tcW w:w="4535" w:type="dxa"/>
            <w:vAlign w:val="center"/>
          </w:tcPr>
          <w:p>
            <w:pPr>
              <w:pStyle w:val="13"/>
            </w:pPr>
            <w:r>
              <w:t>行政运行</w:t>
            </w:r>
          </w:p>
        </w:tc>
        <w:tc>
          <w:tcPr>
            <w:tcW w:w="2551" w:type="dxa"/>
            <w:vAlign w:val="center"/>
          </w:tcPr>
          <w:p>
            <w:pPr>
              <w:pStyle w:val="12"/>
            </w:pPr>
            <w:r>
              <w:t>33.33</w:t>
            </w:r>
          </w:p>
        </w:tc>
        <w:tc>
          <w:tcPr>
            <w:tcW w:w="2551" w:type="dxa"/>
            <w:vAlign w:val="center"/>
          </w:tcPr>
          <w:p>
            <w:pPr>
              <w:pStyle w:val="12"/>
            </w:pPr>
            <w:r>
              <w:t>33.33</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5</w:t>
            </w:r>
          </w:p>
        </w:tc>
        <w:tc>
          <w:tcPr>
            <w:tcW w:w="1191" w:type="dxa"/>
            <w:vAlign w:val="center"/>
          </w:tcPr>
          <w:p>
            <w:pPr>
              <w:pStyle w:val="13"/>
            </w:pPr>
            <w:r>
              <w:t>208</w:t>
            </w:r>
          </w:p>
        </w:tc>
        <w:tc>
          <w:tcPr>
            <w:tcW w:w="4535" w:type="dxa"/>
            <w:vAlign w:val="center"/>
          </w:tcPr>
          <w:p>
            <w:pPr>
              <w:pStyle w:val="13"/>
            </w:pPr>
            <w:r>
              <w:t>社会保障和就业支出</w:t>
            </w:r>
          </w:p>
        </w:tc>
        <w:tc>
          <w:tcPr>
            <w:tcW w:w="2551" w:type="dxa"/>
            <w:vAlign w:val="center"/>
          </w:tcPr>
          <w:p>
            <w:pPr>
              <w:pStyle w:val="12"/>
            </w:pPr>
            <w:r>
              <w:t>4.22</w:t>
            </w:r>
          </w:p>
        </w:tc>
        <w:tc>
          <w:tcPr>
            <w:tcW w:w="2551" w:type="dxa"/>
            <w:vAlign w:val="center"/>
          </w:tcPr>
          <w:p>
            <w:pPr>
              <w:pStyle w:val="12"/>
            </w:pPr>
            <w:r>
              <w:t>4.22</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6</w:t>
            </w:r>
          </w:p>
        </w:tc>
        <w:tc>
          <w:tcPr>
            <w:tcW w:w="1191" w:type="dxa"/>
            <w:vAlign w:val="center"/>
          </w:tcPr>
          <w:p>
            <w:pPr>
              <w:pStyle w:val="13"/>
            </w:pPr>
            <w:r>
              <w:t>20805</w:t>
            </w:r>
          </w:p>
        </w:tc>
        <w:tc>
          <w:tcPr>
            <w:tcW w:w="4535" w:type="dxa"/>
            <w:vAlign w:val="center"/>
          </w:tcPr>
          <w:p>
            <w:pPr>
              <w:pStyle w:val="13"/>
            </w:pPr>
            <w:r>
              <w:t>行政事业单位养老支出</w:t>
            </w:r>
          </w:p>
        </w:tc>
        <w:tc>
          <w:tcPr>
            <w:tcW w:w="2551" w:type="dxa"/>
            <w:vAlign w:val="center"/>
          </w:tcPr>
          <w:p>
            <w:pPr>
              <w:pStyle w:val="12"/>
            </w:pPr>
            <w:r>
              <w:t>4.22</w:t>
            </w:r>
          </w:p>
        </w:tc>
        <w:tc>
          <w:tcPr>
            <w:tcW w:w="2551" w:type="dxa"/>
            <w:vAlign w:val="center"/>
          </w:tcPr>
          <w:p>
            <w:pPr>
              <w:pStyle w:val="12"/>
            </w:pPr>
            <w:r>
              <w:t>4.22</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7</w:t>
            </w:r>
          </w:p>
        </w:tc>
        <w:tc>
          <w:tcPr>
            <w:tcW w:w="1191" w:type="dxa"/>
            <w:vAlign w:val="center"/>
          </w:tcPr>
          <w:p>
            <w:pPr>
              <w:pStyle w:val="13"/>
            </w:pPr>
            <w:r>
              <w:t>2080505</w:t>
            </w:r>
          </w:p>
        </w:tc>
        <w:tc>
          <w:tcPr>
            <w:tcW w:w="4535" w:type="dxa"/>
            <w:vAlign w:val="center"/>
          </w:tcPr>
          <w:p>
            <w:pPr>
              <w:pStyle w:val="13"/>
            </w:pPr>
            <w:r>
              <w:t>机关事业单位基本养老保险缴费支出</w:t>
            </w:r>
          </w:p>
        </w:tc>
        <w:tc>
          <w:tcPr>
            <w:tcW w:w="2551" w:type="dxa"/>
            <w:vAlign w:val="center"/>
          </w:tcPr>
          <w:p>
            <w:pPr>
              <w:pStyle w:val="12"/>
            </w:pPr>
            <w:r>
              <w:t>4.22</w:t>
            </w:r>
          </w:p>
        </w:tc>
        <w:tc>
          <w:tcPr>
            <w:tcW w:w="2551" w:type="dxa"/>
            <w:vAlign w:val="center"/>
          </w:tcPr>
          <w:p>
            <w:pPr>
              <w:pStyle w:val="12"/>
            </w:pPr>
            <w:r>
              <w:t>4.22</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8</w:t>
            </w:r>
          </w:p>
        </w:tc>
        <w:tc>
          <w:tcPr>
            <w:tcW w:w="1191" w:type="dxa"/>
            <w:vAlign w:val="center"/>
          </w:tcPr>
          <w:p>
            <w:pPr>
              <w:pStyle w:val="13"/>
            </w:pPr>
            <w:r>
              <w:t>210</w:t>
            </w:r>
          </w:p>
        </w:tc>
        <w:tc>
          <w:tcPr>
            <w:tcW w:w="4535" w:type="dxa"/>
            <w:vAlign w:val="center"/>
          </w:tcPr>
          <w:p>
            <w:pPr>
              <w:pStyle w:val="13"/>
            </w:pPr>
            <w:r>
              <w:t>卫生健康支出</w:t>
            </w:r>
          </w:p>
        </w:tc>
        <w:tc>
          <w:tcPr>
            <w:tcW w:w="2551" w:type="dxa"/>
            <w:vAlign w:val="center"/>
          </w:tcPr>
          <w:p>
            <w:pPr>
              <w:pStyle w:val="12"/>
            </w:pPr>
            <w:r>
              <w:t>1.95</w:t>
            </w:r>
          </w:p>
        </w:tc>
        <w:tc>
          <w:tcPr>
            <w:tcW w:w="2551" w:type="dxa"/>
            <w:vAlign w:val="center"/>
          </w:tcPr>
          <w:p>
            <w:pPr>
              <w:pStyle w:val="12"/>
            </w:pPr>
            <w:r>
              <w:t>1.95</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9</w:t>
            </w:r>
          </w:p>
        </w:tc>
        <w:tc>
          <w:tcPr>
            <w:tcW w:w="1191" w:type="dxa"/>
            <w:vAlign w:val="center"/>
          </w:tcPr>
          <w:p>
            <w:pPr>
              <w:pStyle w:val="13"/>
            </w:pPr>
            <w:r>
              <w:t>21011</w:t>
            </w:r>
          </w:p>
        </w:tc>
        <w:tc>
          <w:tcPr>
            <w:tcW w:w="4535" w:type="dxa"/>
            <w:vAlign w:val="center"/>
          </w:tcPr>
          <w:p>
            <w:pPr>
              <w:pStyle w:val="13"/>
            </w:pPr>
            <w:r>
              <w:t>行政事业单位医疗</w:t>
            </w:r>
          </w:p>
        </w:tc>
        <w:tc>
          <w:tcPr>
            <w:tcW w:w="2551" w:type="dxa"/>
            <w:vAlign w:val="center"/>
          </w:tcPr>
          <w:p>
            <w:pPr>
              <w:pStyle w:val="12"/>
            </w:pPr>
            <w:r>
              <w:t>1.95</w:t>
            </w:r>
          </w:p>
        </w:tc>
        <w:tc>
          <w:tcPr>
            <w:tcW w:w="2551" w:type="dxa"/>
            <w:vAlign w:val="center"/>
          </w:tcPr>
          <w:p>
            <w:pPr>
              <w:pStyle w:val="12"/>
            </w:pPr>
            <w:r>
              <w:t>1.95</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10</w:t>
            </w:r>
          </w:p>
        </w:tc>
        <w:tc>
          <w:tcPr>
            <w:tcW w:w="1191" w:type="dxa"/>
            <w:vAlign w:val="center"/>
          </w:tcPr>
          <w:p>
            <w:pPr>
              <w:pStyle w:val="13"/>
            </w:pPr>
            <w:r>
              <w:t>2101101</w:t>
            </w:r>
          </w:p>
        </w:tc>
        <w:tc>
          <w:tcPr>
            <w:tcW w:w="4535" w:type="dxa"/>
            <w:vAlign w:val="center"/>
          </w:tcPr>
          <w:p>
            <w:pPr>
              <w:pStyle w:val="13"/>
            </w:pPr>
            <w:r>
              <w:t>行政单位医疗</w:t>
            </w:r>
          </w:p>
        </w:tc>
        <w:tc>
          <w:tcPr>
            <w:tcW w:w="2551" w:type="dxa"/>
            <w:vAlign w:val="center"/>
          </w:tcPr>
          <w:p>
            <w:pPr>
              <w:pStyle w:val="12"/>
            </w:pPr>
            <w:r>
              <w:t>1.95</w:t>
            </w:r>
          </w:p>
        </w:tc>
        <w:tc>
          <w:tcPr>
            <w:tcW w:w="2551" w:type="dxa"/>
            <w:vAlign w:val="center"/>
          </w:tcPr>
          <w:p>
            <w:pPr>
              <w:pStyle w:val="12"/>
            </w:pPr>
            <w:r>
              <w:t>1.95</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11</w:t>
            </w:r>
          </w:p>
        </w:tc>
        <w:tc>
          <w:tcPr>
            <w:tcW w:w="1191" w:type="dxa"/>
            <w:vAlign w:val="center"/>
          </w:tcPr>
          <w:p>
            <w:pPr>
              <w:pStyle w:val="13"/>
            </w:pPr>
            <w:r>
              <w:t>221</w:t>
            </w:r>
          </w:p>
        </w:tc>
        <w:tc>
          <w:tcPr>
            <w:tcW w:w="4535" w:type="dxa"/>
            <w:vAlign w:val="center"/>
          </w:tcPr>
          <w:p>
            <w:pPr>
              <w:pStyle w:val="13"/>
            </w:pPr>
            <w:r>
              <w:t>住房保障支出</w:t>
            </w:r>
          </w:p>
        </w:tc>
        <w:tc>
          <w:tcPr>
            <w:tcW w:w="2551" w:type="dxa"/>
            <w:vAlign w:val="center"/>
          </w:tcPr>
          <w:p>
            <w:pPr>
              <w:pStyle w:val="12"/>
            </w:pPr>
            <w:r>
              <w:t>1.94</w:t>
            </w:r>
          </w:p>
        </w:tc>
        <w:tc>
          <w:tcPr>
            <w:tcW w:w="2551" w:type="dxa"/>
            <w:vAlign w:val="center"/>
          </w:tcPr>
          <w:p>
            <w:pPr>
              <w:pStyle w:val="12"/>
            </w:pPr>
            <w:r>
              <w:t>1.94</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12</w:t>
            </w:r>
          </w:p>
        </w:tc>
        <w:tc>
          <w:tcPr>
            <w:tcW w:w="1191" w:type="dxa"/>
            <w:vAlign w:val="center"/>
          </w:tcPr>
          <w:p>
            <w:pPr>
              <w:pStyle w:val="13"/>
            </w:pPr>
            <w:r>
              <w:t>22102</w:t>
            </w:r>
          </w:p>
        </w:tc>
        <w:tc>
          <w:tcPr>
            <w:tcW w:w="4535" w:type="dxa"/>
            <w:vAlign w:val="center"/>
          </w:tcPr>
          <w:p>
            <w:pPr>
              <w:pStyle w:val="13"/>
            </w:pPr>
            <w:r>
              <w:t>住房改革支出</w:t>
            </w:r>
          </w:p>
        </w:tc>
        <w:tc>
          <w:tcPr>
            <w:tcW w:w="2551" w:type="dxa"/>
            <w:vAlign w:val="center"/>
          </w:tcPr>
          <w:p>
            <w:pPr>
              <w:pStyle w:val="12"/>
            </w:pPr>
            <w:r>
              <w:t>1.94</w:t>
            </w:r>
          </w:p>
        </w:tc>
        <w:tc>
          <w:tcPr>
            <w:tcW w:w="2551" w:type="dxa"/>
            <w:vAlign w:val="center"/>
          </w:tcPr>
          <w:p>
            <w:pPr>
              <w:pStyle w:val="12"/>
            </w:pPr>
            <w:r>
              <w:t>1.94</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13</w:t>
            </w:r>
          </w:p>
        </w:tc>
        <w:tc>
          <w:tcPr>
            <w:tcW w:w="1191" w:type="dxa"/>
            <w:vAlign w:val="center"/>
          </w:tcPr>
          <w:p>
            <w:pPr>
              <w:pStyle w:val="13"/>
            </w:pPr>
            <w:r>
              <w:t>2210201</w:t>
            </w:r>
          </w:p>
        </w:tc>
        <w:tc>
          <w:tcPr>
            <w:tcW w:w="4535" w:type="dxa"/>
            <w:vAlign w:val="center"/>
          </w:tcPr>
          <w:p>
            <w:pPr>
              <w:pStyle w:val="13"/>
            </w:pPr>
            <w:r>
              <w:t>住房公积金</w:t>
            </w:r>
          </w:p>
        </w:tc>
        <w:tc>
          <w:tcPr>
            <w:tcW w:w="2551" w:type="dxa"/>
            <w:vAlign w:val="center"/>
          </w:tcPr>
          <w:p>
            <w:pPr>
              <w:pStyle w:val="12"/>
            </w:pPr>
            <w:r>
              <w:t>1.94</w:t>
            </w:r>
          </w:p>
        </w:tc>
        <w:tc>
          <w:tcPr>
            <w:tcW w:w="2551" w:type="dxa"/>
            <w:vAlign w:val="center"/>
          </w:tcPr>
          <w:p>
            <w:pPr>
              <w:pStyle w:val="12"/>
            </w:pPr>
            <w:r>
              <w:t>1.94</w:t>
            </w:r>
          </w:p>
        </w:tc>
        <w:tc>
          <w:tcPr>
            <w:tcW w:w="2551" w:type="dxa"/>
            <w:vAlign w:val="center"/>
          </w:tcPr>
          <w:p>
            <w:pPr>
              <w:pStyle w:val="12"/>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5" w:name="_Toc_2_2_0000000006"/>
      <w:r>
        <w:rPr>
          <w:rFonts w:ascii="方正小标宋_GBK" w:hAnsi="方正小标宋_GBK" w:eastAsia="方正小标宋_GBK" w:cs="方正小标宋_GBK"/>
          <w:color w:val="000000"/>
          <w:sz w:val="36"/>
        </w:rPr>
        <w:t>部门预算一般公共预算财政拨款基本支出表</w:t>
      </w:r>
      <w:bookmarkEnd w:id="5"/>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0"/>
            </w:pPr>
            <w:r>
              <w:t>224中共顺平县委网络安全和信息化委员会办公室</w:t>
            </w:r>
          </w:p>
        </w:tc>
        <w:tc>
          <w:tcPr>
            <w:tcW w:w="2551" w:type="dxa"/>
            <w:tcBorders>
              <w:top w:val="single" w:color="FFFFFF" w:sz="6" w:space="0"/>
              <w:left w:val="single" w:color="FFFFFF" w:sz="6" w:space="0"/>
              <w:right w:val="single" w:color="FFFFFF" w:sz="6" w:space="0"/>
            </w:tcBorders>
            <w:vAlign w:val="center"/>
          </w:tcPr>
          <w:p>
            <w:pPr>
              <w:pStyle w:val="9"/>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5726" w:type="dxa"/>
            <w:gridSpan w:val="2"/>
            <w:vAlign w:val="center"/>
          </w:tcPr>
          <w:p>
            <w:pPr>
              <w:pStyle w:val="11"/>
            </w:pPr>
            <w:r>
              <w:t>支出部门经济分类科目</w:t>
            </w:r>
          </w:p>
        </w:tc>
        <w:tc>
          <w:tcPr>
            <w:tcW w:w="7653" w:type="dxa"/>
            <w:gridSpan w:val="3"/>
            <w:vAlign w:val="center"/>
          </w:tcPr>
          <w:p>
            <w:pPr>
              <w:pStyle w:val="11"/>
            </w:pPr>
            <w:r>
              <w:t>一般公共预算基本支出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1"/>
            </w:pPr>
            <w:r>
              <w:t>科目编码</w:t>
            </w:r>
          </w:p>
        </w:tc>
        <w:tc>
          <w:tcPr>
            <w:tcW w:w="4535" w:type="dxa"/>
            <w:vAlign w:val="center"/>
          </w:tcPr>
          <w:p>
            <w:pPr>
              <w:pStyle w:val="11"/>
            </w:pPr>
            <w:r>
              <w:t>科目名称</w:t>
            </w:r>
          </w:p>
        </w:tc>
        <w:tc>
          <w:tcPr>
            <w:tcW w:w="2551" w:type="dxa"/>
            <w:vAlign w:val="center"/>
          </w:tcPr>
          <w:p>
            <w:pPr>
              <w:pStyle w:val="11"/>
            </w:pPr>
            <w:r>
              <w:t>合计</w:t>
            </w:r>
          </w:p>
        </w:tc>
        <w:tc>
          <w:tcPr>
            <w:tcW w:w="2551" w:type="dxa"/>
            <w:vAlign w:val="center"/>
          </w:tcPr>
          <w:p>
            <w:pPr>
              <w:pStyle w:val="11"/>
            </w:pPr>
            <w:r>
              <w:t>人员经费</w:t>
            </w:r>
          </w:p>
        </w:tc>
        <w:tc>
          <w:tcPr>
            <w:tcW w:w="2551" w:type="dxa"/>
            <w:vAlign w:val="center"/>
          </w:tcPr>
          <w:p>
            <w:pPr>
              <w:pStyle w:val="11"/>
            </w:pPr>
            <w:r>
              <w:t>公用经费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1191" w:type="dxa"/>
            <w:vAlign w:val="center"/>
          </w:tcPr>
          <w:p>
            <w:pPr>
              <w:pStyle w:val="11"/>
            </w:pPr>
            <w:r>
              <w:t>1</w:t>
            </w:r>
          </w:p>
        </w:tc>
        <w:tc>
          <w:tcPr>
            <w:tcW w:w="4535" w:type="dxa"/>
            <w:vAlign w:val="center"/>
          </w:tcPr>
          <w:p>
            <w:pPr>
              <w:pStyle w:val="11"/>
            </w:pPr>
            <w:r>
              <w:t>2</w:t>
            </w:r>
          </w:p>
        </w:tc>
        <w:tc>
          <w:tcPr>
            <w:tcW w:w="2551" w:type="dxa"/>
            <w:vAlign w:val="center"/>
          </w:tcPr>
          <w:p>
            <w:pPr>
              <w:pStyle w:val="11"/>
            </w:pPr>
            <w:r>
              <w:t>3</w:t>
            </w:r>
          </w:p>
        </w:tc>
        <w:tc>
          <w:tcPr>
            <w:tcW w:w="2551" w:type="dxa"/>
            <w:vAlign w:val="center"/>
          </w:tcPr>
          <w:p>
            <w:pPr>
              <w:pStyle w:val="11"/>
            </w:pPr>
            <w:r>
              <w:t>4</w:t>
            </w:r>
          </w:p>
        </w:tc>
        <w:tc>
          <w:tcPr>
            <w:tcW w:w="2551" w:type="dxa"/>
            <w:vAlign w:val="center"/>
          </w:tcPr>
          <w:p>
            <w:pPr>
              <w:pStyle w:val="11"/>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w:t>
            </w:r>
          </w:p>
        </w:tc>
        <w:tc>
          <w:tcPr>
            <w:tcW w:w="1191" w:type="dxa"/>
            <w:vAlign w:val="center"/>
          </w:tcPr>
          <w:p>
            <w:pPr>
              <w:pStyle w:val="17"/>
            </w:pPr>
          </w:p>
        </w:tc>
        <w:tc>
          <w:tcPr>
            <w:tcW w:w="4535" w:type="dxa"/>
            <w:vAlign w:val="center"/>
          </w:tcPr>
          <w:p>
            <w:pPr>
              <w:pStyle w:val="15"/>
            </w:pPr>
            <w:r>
              <w:t>合计</w:t>
            </w:r>
          </w:p>
        </w:tc>
        <w:tc>
          <w:tcPr>
            <w:tcW w:w="2551" w:type="dxa"/>
            <w:vAlign w:val="center"/>
          </w:tcPr>
          <w:p>
            <w:pPr>
              <w:pStyle w:val="16"/>
            </w:pPr>
            <w:r>
              <w:t>41.44</w:t>
            </w:r>
          </w:p>
        </w:tc>
        <w:tc>
          <w:tcPr>
            <w:tcW w:w="2551" w:type="dxa"/>
            <w:vAlign w:val="center"/>
          </w:tcPr>
          <w:p>
            <w:pPr>
              <w:pStyle w:val="16"/>
            </w:pPr>
            <w:r>
              <w:t>35.45</w:t>
            </w:r>
          </w:p>
        </w:tc>
        <w:tc>
          <w:tcPr>
            <w:tcW w:w="2551" w:type="dxa"/>
            <w:vAlign w:val="center"/>
          </w:tcPr>
          <w:p>
            <w:pPr>
              <w:pStyle w:val="16"/>
            </w:pPr>
            <w:r>
              <w:t>5.99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w:t>
            </w:r>
          </w:p>
        </w:tc>
        <w:tc>
          <w:tcPr>
            <w:tcW w:w="1191" w:type="dxa"/>
            <w:vAlign w:val="center"/>
          </w:tcPr>
          <w:p>
            <w:pPr>
              <w:pStyle w:val="13"/>
            </w:pPr>
            <w:r>
              <w:t>301</w:t>
            </w:r>
          </w:p>
        </w:tc>
        <w:tc>
          <w:tcPr>
            <w:tcW w:w="4535" w:type="dxa"/>
            <w:vAlign w:val="center"/>
          </w:tcPr>
          <w:p>
            <w:pPr>
              <w:pStyle w:val="13"/>
            </w:pPr>
            <w:r>
              <w:t>工资福利支出</w:t>
            </w:r>
          </w:p>
        </w:tc>
        <w:tc>
          <w:tcPr>
            <w:tcW w:w="2551" w:type="dxa"/>
            <w:vAlign w:val="center"/>
          </w:tcPr>
          <w:p>
            <w:pPr>
              <w:pStyle w:val="12"/>
            </w:pPr>
            <w:r>
              <w:t>35.45</w:t>
            </w:r>
          </w:p>
        </w:tc>
        <w:tc>
          <w:tcPr>
            <w:tcW w:w="2551" w:type="dxa"/>
            <w:vAlign w:val="center"/>
          </w:tcPr>
          <w:p>
            <w:pPr>
              <w:pStyle w:val="12"/>
            </w:pPr>
            <w:r>
              <w:t>35.45</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w:t>
            </w:r>
          </w:p>
        </w:tc>
        <w:tc>
          <w:tcPr>
            <w:tcW w:w="1191" w:type="dxa"/>
            <w:vAlign w:val="center"/>
          </w:tcPr>
          <w:p>
            <w:pPr>
              <w:pStyle w:val="13"/>
            </w:pPr>
            <w:r>
              <w:t>30101</w:t>
            </w:r>
          </w:p>
        </w:tc>
        <w:tc>
          <w:tcPr>
            <w:tcW w:w="4535" w:type="dxa"/>
            <w:vAlign w:val="center"/>
          </w:tcPr>
          <w:p>
            <w:pPr>
              <w:pStyle w:val="13"/>
            </w:pPr>
            <w:r>
              <w:t>基本工资</w:t>
            </w:r>
          </w:p>
        </w:tc>
        <w:tc>
          <w:tcPr>
            <w:tcW w:w="2551" w:type="dxa"/>
            <w:vAlign w:val="center"/>
          </w:tcPr>
          <w:p>
            <w:pPr>
              <w:pStyle w:val="12"/>
            </w:pPr>
            <w:r>
              <w:t>16.91</w:t>
            </w:r>
          </w:p>
        </w:tc>
        <w:tc>
          <w:tcPr>
            <w:tcW w:w="2551" w:type="dxa"/>
            <w:vAlign w:val="center"/>
          </w:tcPr>
          <w:p>
            <w:pPr>
              <w:pStyle w:val="12"/>
            </w:pPr>
            <w:r>
              <w:t>16.91</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4</w:t>
            </w:r>
          </w:p>
        </w:tc>
        <w:tc>
          <w:tcPr>
            <w:tcW w:w="1191" w:type="dxa"/>
            <w:vAlign w:val="center"/>
          </w:tcPr>
          <w:p>
            <w:pPr>
              <w:pStyle w:val="13"/>
            </w:pPr>
            <w:r>
              <w:t>30102</w:t>
            </w:r>
          </w:p>
        </w:tc>
        <w:tc>
          <w:tcPr>
            <w:tcW w:w="4535" w:type="dxa"/>
            <w:vAlign w:val="center"/>
          </w:tcPr>
          <w:p>
            <w:pPr>
              <w:pStyle w:val="13"/>
            </w:pPr>
            <w:r>
              <w:t>津贴补贴</w:t>
            </w:r>
          </w:p>
        </w:tc>
        <w:tc>
          <w:tcPr>
            <w:tcW w:w="2551" w:type="dxa"/>
            <w:vAlign w:val="center"/>
          </w:tcPr>
          <w:p>
            <w:pPr>
              <w:pStyle w:val="12"/>
            </w:pPr>
            <w:r>
              <w:t>6.19</w:t>
            </w:r>
          </w:p>
        </w:tc>
        <w:tc>
          <w:tcPr>
            <w:tcW w:w="2551" w:type="dxa"/>
            <w:vAlign w:val="center"/>
          </w:tcPr>
          <w:p>
            <w:pPr>
              <w:pStyle w:val="12"/>
            </w:pPr>
            <w:r>
              <w:t>6.19</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5</w:t>
            </w:r>
          </w:p>
        </w:tc>
        <w:tc>
          <w:tcPr>
            <w:tcW w:w="1191" w:type="dxa"/>
            <w:vAlign w:val="center"/>
          </w:tcPr>
          <w:p>
            <w:pPr>
              <w:pStyle w:val="13"/>
            </w:pPr>
            <w:r>
              <w:t>30103</w:t>
            </w:r>
          </w:p>
        </w:tc>
        <w:tc>
          <w:tcPr>
            <w:tcW w:w="4535" w:type="dxa"/>
            <w:vAlign w:val="center"/>
          </w:tcPr>
          <w:p>
            <w:pPr>
              <w:pStyle w:val="13"/>
            </w:pPr>
            <w:r>
              <w:t>奖金</w:t>
            </w:r>
          </w:p>
        </w:tc>
        <w:tc>
          <w:tcPr>
            <w:tcW w:w="2551" w:type="dxa"/>
            <w:vAlign w:val="center"/>
          </w:tcPr>
          <w:p>
            <w:pPr>
              <w:pStyle w:val="12"/>
            </w:pPr>
            <w:r>
              <w:t>4.11</w:t>
            </w:r>
          </w:p>
        </w:tc>
        <w:tc>
          <w:tcPr>
            <w:tcW w:w="2551" w:type="dxa"/>
            <w:vAlign w:val="center"/>
          </w:tcPr>
          <w:p>
            <w:pPr>
              <w:pStyle w:val="12"/>
            </w:pPr>
            <w:r>
              <w:t>4.11</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6</w:t>
            </w:r>
          </w:p>
        </w:tc>
        <w:tc>
          <w:tcPr>
            <w:tcW w:w="1191" w:type="dxa"/>
            <w:vAlign w:val="center"/>
          </w:tcPr>
          <w:p>
            <w:pPr>
              <w:pStyle w:val="13"/>
            </w:pPr>
            <w:r>
              <w:t>30108</w:t>
            </w:r>
          </w:p>
        </w:tc>
        <w:tc>
          <w:tcPr>
            <w:tcW w:w="4535" w:type="dxa"/>
            <w:vAlign w:val="center"/>
          </w:tcPr>
          <w:p>
            <w:pPr>
              <w:pStyle w:val="13"/>
            </w:pPr>
            <w:r>
              <w:t>机关事业单位基本养老保险缴费</w:t>
            </w:r>
          </w:p>
        </w:tc>
        <w:tc>
          <w:tcPr>
            <w:tcW w:w="2551" w:type="dxa"/>
            <w:vAlign w:val="center"/>
          </w:tcPr>
          <w:p>
            <w:pPr>
              <w:pStyle w:val="12"/>
            </w:pPr>
            <w:r>
              <w:t>4.22</w:t>
            </w:r>
          </w:p>
        </w:tc>
        <w:tc>
          <w:tcPr>
            <w:tcW w:w="2551" w:type="dxa"/>
            <w:vAlign w:val="center"/>
          </w:tcPr>
          <w:p>
            <w:pPr>
              <w:pStyle w:val="12"/>
            </w:pPr>
            <w:r>
              <w:t>4.22</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7</w:t>
            </w:r>
          </w:p>
        </w:tc>
        <w:tc>
          <w:tcPr>
            <w:tcW w:w="1191" w:type="dxa"/>
            <w:vAlign w:val="center"/>
          </w:tcPr>
          <w:p>
            <w:pPr>
              <w:pStyle w:val="13"/>
            </w:pPr>
            <w:r>
              <w:t>30110</w:t>
            </w:r>
          </w:p>
        </w:tc>
        <w:tc>
          <w:tcPr>
            <w:tcW w:w="4535" w:type="dxa"/>
            <w:vAlign w:val="center"/>
          </w:tcPr>
          <w:p>
            <w:pPr>
              <w:pStyle w:val="13"/>
            </w:pPr>
            <w:r>
              <w:t>职工基本医疗保险缴费</w:t>
            </w:r>
          </w:p>
        </w:tc>
        <w:tc>
          <w:tcPr>
            <w:tcW w:w="2551" w:type="dxa"/>
            <w:vAlign w:val="center"/>
          </w:tcPr>
          <w:p>
            <w:pPr>
              <w:pStyle w:val="12"/>
            </w:pPr>
            <w:r>
              <w:t>1.95</w:t>
            </w:r>
          </w:p>
        </w:tc>
        <w:tc>
          <w:tcPr>
            <w:tcW w:w="2551" w:type="dxa"/>
            <w:vAlign w:val="center"/>
          </w:tcPr>
          <w:p>
            <w:pPr>
              <w:pStyle w:val="12"/>
            </w:pPr>
            <w:r>
              <w:t>1.95</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8</w:t>
            </w:r>
          </w:p>
        </w:tc>
        <w:tc>
          <w:tcPr>
            <w:tcW w:w="1191" w:type="dxa"/>
            <w:vAlign w:val="center"/>
          </w:tcPr>
          <w:p>
            <w:pPr>
              <w:pStyle w:val="13"/>
            </w:pPr>
            <w:r>
              <w:t>30112</w:t>
            </w:r>
          </w:p>
        </w:tc>
        <w:tc>
          <w:tcPr>
            <w:tcW w:w="4535" w:type="dxa"/>
            <w:vAlign w:val="center"/>
          </w:tcPr>
          <w:p>
            <w:pPr>
              <w:pStyle w:val="13"/>
            </w:pPr>
            <w:r>
              <w:t>其他社会保障缴费</w:t>
            </w:r>
          </w:p>
        </w:tc>
        <w:tc>
          <w:tcPr>
            <w:tcW w:w="2551" w:type="dxa"/>
            <w:vAlign w:val="center"/>
          </w:tcPr>
          <w:p>
            <w:pPr>
              <w:pStyle w:val="12"/>
            </w:pPr>
            <w:r>
              <w:t>0.12</w:t>
            </w:r>
          </w:p>
        </w:tc>
        <w:tc>
          <w:tcPr>
            <w:tcW w:w="2551" w:type="dxa"/>
            <w:vAlign w:val="center"/>
          </w:tcPr>
          <w:p>
            <w:pPr>
              <w:pStyle w:val="12"/>
            </w:pPr>
            <w:r>
              <w:t>0.12</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9</w:t>
            </w:r>
          </w:p>
        </w:tc>
        <w:tc>
          <w:tcPr>
            <w:tcW w:w="1191" w:type="dxa"/>
            <w:vAlign w:val="center"/>
          </w:tcPr>
          <w:p>
            <w:pPr>
              <w:pStyle w:val="13"/>
            </w:pPr>
            <w:r>
              <w:t>30113</w:t>
            </w:r>
          </w:p>
        </w:tc>
        <w:tc>
          <w:tcPr>
            <w:tcW w:w="4535" w:type="dxa"/>
            <w:vAlign w:val="center"/>
          </w:tcPr>
          <w:p>
            <w:pPr>
              <w:pStyle w:val="13"/>
            </w:pPr>
            <w:r>
              <w:t>住房公积金</w:t>
            </w:r>
          </w:p>
        </w:tc>
        <w:tc>
          <w:tcPr>
            <w:tcW w:w="2551" w:type="dxa"/>
            <w:vAlign w:val="center"/>
          </w:tcPr>
          <w:p>
            <w:pPr>
              <w:pStyle w:val="12"/>
            </w:pPr>
            <w:r>
              <w:t>1.94</w:t>
            </w:r>
          </w:p>
        </w:tc>
        <w:tc>
          <w:tcPr>
            <w:tcW w:w="2551" w:type="dxa"/>
            <w:vAlign w:val="center"/>
          </w:tcPr>
          <w:p>
            <w:pPr>
              <w:pStyle w:val="12"/>
            </w:pPr>
            <w:r>
              <w:t>1.94</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10</w:t>
            </w:r>
          </w:p>
        </w:tc>
        <w:tc>
          <w:tcPr>
            <w:tcW w:w="1191" w:type="dxa"/>
            <w:vAlign w:val="center"/>
          </w:tcPr>
          <w:p>
            <w:pPr>
              <w:pStyle w:val="13"/>
            </w:pPr>
            <w:r>
              <w:t>302</w:t>
            </w:r>
          </w:p>
        </w:tc>
        <w:tc>
          <w:tcPr>
            <w:tcW w:w="4535" w:type="dxa"/>
            <w:vAlign w:val="center"/>
          </w:tcPr>
          <w:p>
            <w:pPr>
              <w:pStyle w:val="13"/>
            </w:pPr>
            <w:r>
              <w:t>商品和服务支出</w:t>
            </w:r>
          </w:p>
        </w:tc>
        <w:tc>
          <w:tcPr>
            <w:tcW w:w="2551" w:type="dxa"/>
            <w:vAlign w:val="center"/>
          </w:tcPr>
          <w:p>
            <w:pPr>
              <w:pStyle w:val="12"/>
            </w:pPr>
            <w:r>
              <w:t>5.99</w:t>
            </w:r>
          </w:p>
        </w:tc>
        <w:tc>
          <w:tcPr>
            <w:tcW w:w="2551" w:type="dxa"/>
            <w:vAlign w:val="center"/>
          </w:tcPr>
          <w:p>
            <w:pPr>
              <w:pStyle w:val="12"/>
            </w:pPr>
          </w:p>
        </w:tc>
        <w:tc>
          <w:tcPr>
            <w:tcW w:w="2551" w:type="dxa"/>
            <w:vAlign w:val="center"/>
          </w:tcPr>
          <w:p>
            <w:pPr>
              <w:pStyle w:val="12"/>
            </w:pPr>
            <w:r>
              <w:t>5.99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11</w:t>
            </w:r>
          </w:p>
        </w:tc>
        <w:tc>
          <w:tcPr>
            <w:tcW w:w="1191" w:type="dxa"/>
            <w:vAlign w:val="center"/>
          </w:tcPr>
          <w:p>
            <w:pPr>
              <w:pStyle w:val="13"/>
            </w:pPr>
            <w:r>
              <w:t>30201</w:t>
            </w:r>
          </w:p>
        </w:tc>
        <w:tc>
          <w:tcPr>
            <w:tcW w:w="4535" w:type="dxa"/>
            <w:vAlign w:val="center"/>
          </w:tcPr>
          <w:p>
            <w:pPr>
              <w:pStyle w:val="13"/>
            </w:pPr>
            <w:r>
              <w:t>办公费</w:t>
            </w:r>
          </w:p>
        </w:tc>
        <w:tc>
          <w:tcPr>
            <w:tcW w:w="2551" w:type="dxa"/>
            <w:vAlign w:val="center"/>
          </w:tcPr>
          <w:p>
            <w:pPr>
              <w:pStyle w:val="12"/>
            </w:pPr>
            <w:r>
              <w:t>0.63</w:t>
            </w:r>
          </w:p>
        </w:tc>
        <w:tc>
          <w:tcPr>
            <w:tcW w:w="2551" w:type="dxa"/>
            <w:vAlign w:val="center"/>
          </w:tcPr>
          <w:p>
            <w:pPr>
              <w:pStyle w:val="12"/>
            </w:pPr>
          </w:p>
        </w:tc>
        <w:tc>
          <w:tcPr>
            <w:tcW w:w="2551" w:type="dxa"/>
            <w:vAlign w:val="center"/>
          </w:tcPr>
          <w:p>
            <w:pPr>
              <w:pStyle w:val="12"/>
            </w:pPr>
            <w:r>
              <w:t>0.63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12</w:t>
            </w:r>
          </w:p>
        </w:tc>
        <w:tc>
          <w:tcPr>
            <w:tcW w:w="1191" w:type="dxa"/>
            <w:vAlign w:val="center"/>
          </w:tcPr>
          <w:p>
            <w:pPr>
              <w:pStyle w:val="13"/>
            </w:pPr>
            <w:r>
              <w:t>30207</w:t>
            </w:r>
          </w:p>
        </w:tc>
        <w:tc>
          <w:tcPr>
            <w:tcW w:w="4535" w:type="dxa"/>
            <w:vAlign w:val="center"/>
          </w:tcPr>
          <w:p>
            <w:pPr>
              <w:pStyle w:val="13"/>
            </w:pPr>
            <w:r>
              <w:t>邮电费</w:t>
            </w:r>
          </w:p>
        </w:tc>
        <w:tc>
          <w:tcPr>
            <w:tcW w:w="2551" w:type="dxa"/>
            <w:vAlign w:val="center"/>
          </w:tcPr>
          <w:p>
            <w:pPr>
              <w:pStyle w:val="12"/>
            </w:pPr>
            <w:r>
              <w:t>1.88</w:t>
            </w:r>
          </w:p>
        </w:tc>
        <w:tc>
          <w:tcPr>
            <w:tcW w:w="2551" w:type="dxa"/>
            <w:vAlign w:val="center"/>
          </w:tcPr>
          <w:p>
            <w:pPr>
              <w:pStyle w:val="12"/>
            </w:pPr>
          </w:p>
        </w:tc>
        <w:tc>
          <w:tcPr>
            <w:tcW w:w="2551" w:type="dxa"/>
            <w:vAlign w:val="center"/>
          </w:tcPr>
          <w:p>
            <w:pPr>
              <w:pStyle w:val="12"/>
            </w:pPr>
            <w:r>
              <w:t>1.88</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13</w:t>
            </w:r>
          </w:p>
        </w:tc>
        <w:tc>
          <w:tcPr>
            <w:tcW w:w="1191" w:type="dxa"/>
            <w:vAlign w:val="center"/>
          </w:tcPr>
          <w:p>
            <w:pPr>
              <w:pStyle w:val="13"/>
            </w:pPr>
            <w:r>
              <w:t>30228</w:t>
            </w:r>
          </w:p>
        </w:tc>
        <w:tc>
          <w:tcPr>
            <w:tcW w:w="4535" w:type="dxa"/>
            <w:vAlign w:val="center"/>
          </w:tcPr>
          <w:p>
            <w:pPr>
              <w:pStyle w:val="13"/>
            </w:pPr>
            <w:r>
              <w:t>工会经费</w:t>
            </w:r>
          </w:p>
        </w:tc>
        <w:tc>
          <w:tcPr>
            <w:tcW w:w="2551" w:type="dxa"/>
            <w:vAlign w:val="center"/>
          </w:tcPr>
          <w:p>
            <w:pPr>
              <w:pStyle w:val="12"/>
            </w:pPr>
            <w:r>
              <w:t>0.20</w:t>
            </w:r>
          </w:p>
        </w:tc>
        <w:tc>
          <w:tcPr>
            <w:tcW w:w="2551" w:type="dxa"/>
            <w:vAlign w:val="center"/>
          </w:tcPr>
          <w:p>
            <w:pPr>
              <w:pStyle w:val="12"/>
            </w:pPr>
          </w:p>
        </w:tc>
        <w:tc>
          <w:tcPr>
            <w:tcW w:w="2551" w:type="dxa"/>
            <w:vAlign w:val="center"/>
          </w:tcPr>
          <w:p>
            <w:pPr>
              <w:pStyle w:val="12"/>
            </w:pPr>
            <w:r>
              <w:t>0.20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14</w:t>
            </w:r>
          </w:p>
        </w:tc>
        <w:tc>
          <w:tcPr>
            <w:tcW w:w="1191" w:type="dxa"/>
            <w:vAlign w:val="center"/>
          </w:tcPr>
          <w:p>
            <w:pPr>
              <w:pStyle w:val="13"/>
            </w:pPr>
            <w:r>
              <w:t>30229</w:t>
            </w:r>
          </w:p>
        </w:tc>
        <w:tc>
          <w:tcPr>
            <w:tcW w:w="4535" w:type="dxa"/>
            <w:vAlign w:val="center"/>
          </w:tcPr>
          <w:p>
            <w:pPr>
              <w:pStyle w:val="13"/>
            </w:pPr>
            <w:r>
              <w:t>福利费</w:t>
            </w:r>
          </w:p>
        </w:tc>
        <w:tc>
          <w:tcPr>
            <w:tcW w:w="2551" w:type="dxa"/>
            <w:vAlign w:val="center"/>
          </w:tcPr>
          <w:p>
            <w:pPr>
              <w:pStyle w:val="12"/>
            </w:pPr>
            <w:r>
              <w:t>0.02</w:t>
            </w:r>
          </w:p>
        </w:tc>
        <w:tc>
          <w:tcPr>
            <w:tcW w:w="2551" w:type="dxa"/>
            <w:vAlign w:val="center"/>
          </w:tcPr>
          <w:p>
            <w:pPr>
              <w:pStyle w:val="12"/>
            </w:pPr>
          </w:p>
        </w:tc>
        <w:tc>
          <w:tcPr>
            <w:tcW w:w="2551" w:type="dxa"/>
            <w:vAlign w:val="center"/>
          </w:tcPr>
          <w:p>
            <w:pPr>
              <w:pStyle w:val="12"/>
            </w:pPr>
            <w:r>
              <w:t>0.02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15</w:t>
            </w:r>
          </w:p>
        </w:tc>
        <w:tc>
          <w:tcPr>
            <w:tcW w:w="1191" w:type="dxa"/>
            <w:vAlign w:val="center"/>
          </w:tcPr>
          <w:p>
            <w:pPr>
              <w:pStyle w:val="13"/>
            </w:pPr>
            <w:r>
              <w:t>30239</w:t>
            </w:r>
          </w:p>
        </w:tc>
        <w:tc>
          <w:tcPr>
            <w:tcW w:w="4535" w:type="dxa"/>
            <w:vAlign w:val="center"/>
          </w:tcPr>
          <w:p>
            <w:pPr>
              <w:pStyle w:val="13"/>
            </w:pPr>
            <w:r>
              <w:t>其他交通费用</w:t>
            </w:r>
          </w:p>
        </w:tc>
        <w:tc>
          <w:tcPr>
            <w:tcW w:w="2551" w:type="dxa"/>
            <w:vAlign w:val="center"/>
          </w:tcPr>
          <w:p>
            <w:pPr>
              <w:pStyle w:val="12"/>
            </w:pPr>
            <w:r>
              <w:t>3.26</w:t>
            </w:r>
          </w:p>
        </w:tc>
        <w:tc>
          <w:tcPr>
            <w:tcW w:w="2551" w:type="dxa"/>
            <w:vAlign w:val="center"/>
          </w:tcPr>
          <w:p>
            <w:pPr>
              <w:pStyle w:val="12"/>
            </w:pPr>
          </w:p>
        </w:tc>
        <w:tc>
          <w:tcPr>
            <w:tcW w:w="2551" w:type="dxa"/>
            <w:vAlign w:val="center"/>
          </w:tcPr>
          <w:p>
            <w:pPr>
              <w:pStyle w:val="12"/>
            </w:pPr>
            <w:r>
              <w:t>3.26</w:t>
            </w: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6" w:name="_Toc_2_2_0000000007"/>
      <w:r>
        <w:rPr>
          <w:rFonts w:ascii="方正小标宋_GBK" w:hAnsi="方正小标宋_GBK" w:eastAsia="方正小标宋_GBK" w:cs="方正小标宋_GBK"/>
          <w:color w:val="000000"/>
          <w:sz w:val="36"/>
        </w:rPr>
        <w:t>部门预算政府性基金预算财政拨款支出表</w:t>
      </w:r>
      <w:bookmarkEnd w:id="6"/>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0"/>
            </w:pPr>
            <w:r>
              <w:t>224中共顺平县委网络安全和信息化委员会办公室</w:t>
            </w:r>
          </w:p>
        </w:tc>
        <w:tc>
          <w:tcPr>
            <w:tcW w:w="2551" w:type="dxa"/>
            <w:tcBorders>
              <w:top w:val="single" w:color="FFFFFF" w:sz="6" w:space="0"/>
              <w:left w:val="single" w:color="FFFFFF" w:sz="6" w:space="0"/>
              <w:right w:val="single" w:color="FFFFFF" w:sz="6" w:space="0"/>
            </w:tcBorders>
            <w:vAlign w:val="center"/>
          </w:tcPr>
          <w:p>
            <w:pPr>
              <w:pStyle w:val="9"/>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5726" w:type="dxa"/>
            <w:gridSpan w:val="2"/>
            <w:vAlign w:val="center"/>
          </w:tcPr>
          <w:p>
            <w:pPr>
              <w:pStyle w:val="11"/>
            </w:pPr>
            <w:r>
              <w:t>功能分类科目</w:t>
            </w:r>
          </w:p>
        </w:tc>
        <w:tc>
          <w:tcPr>
            <w:tcW w:w="2551" w:type="dxa"/>
            <w:vMerge w:val="restart"/>
            <w:vAlign w:val="center"/>
          </w:tcPr>
          <w:p>
            <w:pPr>
              <w:pStyle w:val="11"/>
            </w:pPr>
            <w:r>
              <w:t>合计</w:t>
            </w:r>
          </w:p>
        </w:tc>
        <w:tc>
          <w:tcPr>
            <w:tcW w:w="2551" w:type="dxa"/>
            <w:vMerge w:val="restart"/>
            <w:vAlign w:val="center"/>
          </w:tcPr>
          <w:p>
            <w:pPr>
              <w:pStyle w:val="11"/>
            </w:pPr>
            <w:r>
              <w:t>基本支出</w:t>
            </w:r>
          </w:p>
        </w:tc>
        <w:tc>
          <w:tcPr>
            <w:tcW w:w="2551" w:type="dxa"/>
            <w:vMerge w:val="restart"/>
            <w:vAlign w:val="center"/>
          </w:tcPr>
          <w:p>
            <w:pPr>
              <w:pStyle w:val="11"/>
            </w:pPr>
            <w:r>
              <w:t>项目支出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1"/>
            </w:pPr>
            <w:r>
              <w:t>科目编码</w:t>
            </w:r>
          </w:p>
        </w:tc>
        <w:tc>
          <w:tcPr>
            <w:tcW w:w="4535" w:type="dxa"/>
            <w:vAlign w:val="center"/>
          </w:tcPr>
          <w:p>
            <w:pPr>
              <w:pStyle w:val="11"/>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1191" w:type="dxa"/>
            <w:vAlign w:val="center"/>
          </w:tcPr>
          <w:p>
            <w:pPr>
              <w:pStyle w:val="11"/>
            </w:pPr>
            <w:r>
              <w:t>1</w:t>
            </w:r>
          </w:p>
        </w:tc>
        <w:tc>
          <w:tcPr>
            <w:tcW w:w="4535" w:type="dxa"/>
            <w:vAlign w:val="center"/>
          </w:tcPr>
          <w:p>
            <w:pPr>
              <w:pStyle w:val="11"/>
            </w:pPr>
            <w:r>
              <w:t>2</w:t>
            </w:r>
          </w:p>
        </w:tc>
        <w:tc>
          <w:tcPr>
            <w:tcW w:w="2551" w:type="dxa"/>
            <w:vAlign w:val="center"/>
          </w:tcPr>
          <w:p>
            <w:pPr>
              <w:pStyle w:val="11"/>
            </w:pPr>
            <w:r>
              <w:t>3</w:t>
            </w:r>
          </w:p>
        </w:tc>
        <w:tc>
          <w:tcPr>
            <w:tcW w:w="2551" w:type="dxa"/>
            <w:vAlign w:val="center"/>
          </w:tcPr>
          <w:p>
            <w:pPr>
              <w:pStyle w:val="11"/>
            </w:pPr>
            <w:r>
              <w:t>4</w:t>
            </w:r>
          </w:p>
        </w:tc>
        <w:tc>
          <w:tcPr>
            <w:tcW w:w="2551" w:type="dxa"/>
            <w:vAlign w:val="center"/>
          </w:tcPr>
          <w:p>
            <w:pPr>
              <w:pStyle w:val="11"/>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p>
        </w:tc>
        <w:tc>
          <w:tcPr>
            <w:tcW w:w="1191" w:type="dxa"/>
            <w:vAlign w:val="center"/>
          </w:tcPr>
          <w:p>
            <w:pPr>
              <w:pStyle w:val="13"/>
            </w:pPr>
          </w:p>
        </w:tc>
        <w:tc>
          <w:tcPr>
            <w:tcW w:w="4535" w:type="dxa"/>
            <w:vAlign w:val="center"/>
          </w:tcPr>
          <w:p>
            <w:pPr>
              <w:pStyle w:val="13"/>
            </w:pPr>
          </w:p>
        </w:tc>
        <w:tc>
          <w:tcPr>
            <w:tcW w:w="2551" w:type="dxa"/>
            <w:vAlign w:val="center"/>
          </w:tcPr>
          <w:p>
            <w:pPr>
              <w:pStyle w:val="12"/>
            </w:pPr>
          </w:p>
        </w:tc>
        <w:tc>
          <w:tcPr>
            <w:tcW w:w="2551" w:type="dxa"/>
            <w:vAlign w:val="center"/>
          </w:tcPr>
          <w:p>
            <w:pPr>
              <w:pStyle w:val="12"/>
            </w:pPr>
          </w:p>
        </w:tc>
        <w:tc>
          <w:tcPr>
            <w:tcW w:w="2551" w:type="dxa"/>
            <w:vAlign w:val="center"/>
          </w:tcPr>
          <w:p>
            <w:pPr>
              <w:pStyle w:val="12"/>
            </w:pPr>
          </w:p>
        </w:tc>
      </w:tr>
    </w:tbl>
    <w:p>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pPr>
        <w:spacing w:before="0" w:after="0" w:line="240" w:lineRule="auto"/>
        <w:ind w:firstLine="0"/>
        <w:jc w:val="center"/>
        <w:outlineLvl w:val="1"/>
      </w:pPr>
      <w:bookmarkStart w:id="7" w:name="_Toc_2_2_0000000008"/>
      <w:r>
        <w:rPr>
          <w:rFonts w:ascii="方正小标宋_GBK" w:hAnsi="方正小标宋_GBK" w:eastAsia="方正小标宋_GBK" w:cs="方正小标宋_GBK"/>
          <w:color w:val="000000"/>
          <w:sz w:val="36"/>
        </w:rPr>
        <w:t>部门预算国有资本经营预算财政拨款支出表</w:t>
      </w:r>
      <w:bookmarkEnd w:id="7"/>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0"/>
            </w:pPr>
            <w:r>
              <w:t>224中共顺平县委网络安全和信息化委员会办公室</w:t>
            </w:r>
          </w:p>
        </w:tc>
        <w:tc>
          <w:tcPr>
            <w:tcW w:w="2551" w:type="dxa"/>
            <w:tcBorders>
              <w:top w:val="single" w:color="FFFFFF" w:sz="6" w:space="0"/>
              <w:left w:val="single" w:color="FFFFFF" w:sz="6" w:space="0"/>
              <w:right w:val="single" w:color="FFFFFF" w:sz="6" w:space="0"/>
            </w:tcBorders>
            <w:vAlign w:val="center"/>
          </w:tcPr>
          <w:p>
            <w:pPr>
              <w:pStyle w:val="9"/>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5726" w:type="dxa"/>
            <w:gridSpan w:val="2"/>
            <w:vAlign w:val="center"/>
          </w:tcPr>
          <w:p>
            <w:pPr>
              <w:pStyle w:val="11"/>
            </w:pPr>
            <w:r>
              <w:t>功能分类科目</w:t>
            </w:r>
          </w:p>
        </w:tc>
        <w:tc>
          <w:tcPr>
            <w:tcW w:w="2551" w:type="dxa"/>
            <w:vMerge w:val="restart"/>
            <w:vAlign w:val="center"/>
          </w:tcPr>
          <w:p>
            <w:pPr>
              <w:pStyle w:val="11"/>
            </w:pPr>
            <w:r>
              <w:t>合计</w:t>
            </w:r>
          </w:p>
        </w:tc>
        <w:tc>
          <w:tcPr>
            <w:tcW w:w="2551" w:type="dxa"/>
            <w:vMerge w:val="restart"/>
            <w:vAlign w:val="center"/>
          </w:tcPr>
          <w:p>
            <w:pPr>
              <w:pStyle w:val="11"/>
            </w:pPr>
            <w:r>
              <w:t>基本支出</w:t>
            </w:r>
          </w:p>
        </w:tc>
        <w:tc>
          <w:tcPr>
            <w:tcW w:w="2551" w:type="dxa"/>
            <w:vMerge w:val="restart"/>
            <w:vAlign w:val="center"/>
          </w:tcPr>
          <w:p>
            <w:pPr>
              <w:pStyle w:val="11"/>
            </w:pPr>
            <w:r>
              <w:t>项目支出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1"/>
            </w:pPr>
            <w:r>
              <w:t>科目编码</w:t>
            </w:r>
          </w:p>
        </w:tc>
        <w:tc>
          <w:tcPr>
            <w:tcW w:w="4535" w:type="dxa"/>
            <w:vAlign w:val="center"/>
          </w:tcPr>
          <w:p>
            <w:pPr>
              <w:pStyle w:val="11"/>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1191" w:type="dxa"/>
            <w:vAlign w:val="center"/>
          </w:tcPr>
          <w:p>
            <w:pPr>
              <w:pStyle w:val="11"/>
            </w:pPr>
            <w:r>
              <w:t>1</w:t>
            </w:r>
          </w:p>
        </w:tc>
        <w:tc>
          <w:tcPr>
            <w:tcW w:w="4535" w:type="dxa"/>
            <w:vAlign w:val="center"/>
          </w:tcPr>
          <w:p>
            <w:pPr>
              <w:pStyle w:val="11"/>
            </w:pPr>
            <w:r>
              <w:t>2</w:t>
            </w:r>
          </w:p>
        </w:tc>
        <w:tc>
          <w:tcPr>
            <w:tcW w:w="2551" w:type="dxa"/>
            <w:vAlign w:val="center"/>
          </w:tcPr>
          <w:p>
            <w:pPr>
              <w:pStyle w:val="11"/>
            </w:pPr>
            <w:r>
              <w:t>3</w:t>
            </w:r>
          </w:p>
        </w:tc>
        <w:tc>
          <w:tcPr>
            <w:tcW w:w="2551" w:type="dxa"/>
            <w:vAlign w:val="center"/>
          </w:tcPr>
          <w:p>
            <w:pPr>
              <w:pStyle w:val="11"/>
            </w:pPr>
            <w:r>
              <w:t>4</w:t>
            </w:r>
          </w:p>
        </w:tc>
        <w:tc>
          <w:tcPr>
            <w:tcW w:w="2551" w:type="dxa"/>
            <w:vAlign w:val="center"/>
          </w:tcPr>
          <w:p>
            <w:pPr>
              <w:pStyle w:val="11"/>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p>
        </w:tc>
        <w:tc>
          <w:tcPr>
            <w:tcW w:w="1191" w:type="dxa"/>
            <w:vAlign w:val="center"/>
          </w:tcPr>
          <w:p>
            <w:pPr>
              <w:pStyle w:val="13"/>
            </w:pPr>
          </w:p>
        </w:tc>
        <w:tc>
          <w:tcPr>
            <w:tcW w:w="4535" w:type="dxa"/>
            <w:vAlign w:val="center"/>
          </w:tcPr>
          <w:p>
            <w:pPr>
              <w:pStyle w:val="13"/>
            </w:pPr>
          </w:p>
        </w:tc>
        <w:tc>
          <w:tcPr>
            <w:tcW w:w="2551" w:type="dxa"/>
            <w:vAlign w:val="center"/>
          </w:tcPr>
          <w:p>
            <w:pPr>
              <w:pStyle w:val="12"/>
            </w:pPr>
          </w:p>
        </w:tc>
        <w:tc>
          <w:tcPr>
            <w:tcW w:w="2551" w:type="dxa"/>
            <w:vAlign w:val="center"/>
          </w:tcPr>
          <w:p>
            <w:pPr>
              <w:pStyle w:val="12"/>
            </w:pPr>
          </w:p>
        </w:tc>
        <w:tc>
          <w:tcPr>
            <w:tcW w:w="2551" w:type="dxa"/>
            <w:vAlign w:val="center"/>
          </w:tcPr>
          <w:p>
            <w:pPr>
              <w:pStyle w:val="12"/>
            </w:pPr>
          </w:p>
        </w:tc>
      </w:tr>
    </w:tbl>
    <w:p>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pPr>
        <w:spacing w:before="0" w:after="0" w:line="240" w:lineRule="auto"/>
        <w:ind w:firstLine="0"/>
        <w:jc w:val="center"/>
        <w:outlineLvl w:val="1"/>
      </w:pPr>
      <w:bookmarkStart w:id="8" w:name="_Toc_2_2_0000000009"/>
      <w:r>
        <w:rPr>
          <w:rFonts w:ascii="方正小标宋_GBK" w:hAnsi="方正小标宋_GBK" w:eastAsia="方正小标宋_GBK" w:cs="方正小标宋_GBK"/>
          <w:color w:val="000000"/>
          <w:sz w:val="36"/>
        </w:rPr>
        <w:t>部门预算财政拨款“三公”经费支出表</w:t>
      </w:r>
      <w:bookmarkEnd w:id="8"/>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pPr>
              <w:pStyle w:val="10"/>
            </w:pPr>
            <w:r>
              <w:t>224中共顺平县委网络安全和信息化委员会办公室</w:t>
            </w:r>
          </w:p>
        </w:tc>
        <w:tc>
          <w:tcPr>
            <w:tcW w:w="2381" w:type="dxa"/>
            <w:tcBorders>
              <w:top w:val="single" w:color="FFFFFF" w:sz="6" w:space="0"/>
              <w:left w:val="single" w:color="FFFFFF" w:sz="6" w:space="0"/>
              <w:right w:val="single" w:color="FFFFFF" w:sz="6" w:space="0"/>
            </w:tcBorders>
            <w:vAlign w:val="center"/>
          </w:tcPr>
          <w:p>
            <w:pPr>
              <w:pStyle w:val="9"/>
            </w:pPr>
            <w:r>
              <w:t>预算年度：2025</w:t>
            </w:r>
          </w:p>
        </w:tc>
        <w:tc>
          <w:tcPr>
            <w:tcW w:w="476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3798" w:type="dxa"/>
            <w:vMerge w:val="restart"/>
            <w:vAlign w:val="center"/>
          </w:tcPr>
          <w:p>
            <w:pPr>
              <w:pStyle w:val="11"/>
            </w:pPr>
            <w:r>
              <w:t>项  目</w:t>
            </w:r>
          </w:p>
        </w:tc>
        <w:tc>
          <w:tcPr>
            <w:tcW w:w="9524" w:type="dxa"/>
            <w:gridSpan w:val="4"/>
            <w:vAlign w:val="center"/>
          </w:tcPr>
          <w:p>
            <w:pPr>
              <w:pStyle w:val="11"/>
            </w:pPr>
            <w:r>
              <w:t>资 金 性 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tc>
        <w:tc>
          <w:tcPr>
            <w:tcW w:w="3798" w:type="dxa"/>
            <w:vMerge w:val="continue"/>
          </w:tcPr>
          <w:p/>
        </w:tc>
        <w:tc>
          <w:tcPr>
            <w:tcW w:w="2381" w:type="dxa"/>
            <w:vAlign w:val="center"/>
          </w:tcPr>
          <w:p>
            <w:pPr>
              <w:pStyle w:val="11"/>
            </w:pPr>
            <w:r>
              <w:t>合计</w:t>
            </w:r>
          </w:p>
        </w:tc>
        <w:tc>
          <w:tcPr>
            <w:tcW w:w="2381" w:type="dxa"/>
            <w:vAlign w:val="center"/>
          </w:tcPr>
          <w:p>
            <w:pPr>
              <w:pStyle w:val="11"/>
            </w:pPr>
            <w:r>
              <w:t>一般公共预算              财政拨款</w:t>
            </w:r>
          </w:p>
        </w:tc>
        <w:tc>
          <w:tcPr>
            <w:tcW w:w="2381" w:type="dxa"/>
            <w:vAlign w:val="center"/>
          </w:tcPr>
          <w:p>
            <w:pPr>
              <w:pStyle w:val="11"/>
            </w:pPr>
            <w:r>
              <w:t>政府性基金                  预算拨款</w:t>
            </w:r>
          </w:p>
        </w:tc>
        <w:tc>
          <w:tcPr>
            <w:tcW w:w="2381" w:type="dxa"/>
            <w:vAlign w:val="center"/>
          </w:tcPr>
          <w:p>
            <w:pPr>
              <w:pStyle w:val="11"/>
            </w:pPr>
            <w:r>
              <w:t>国有资本经营              预算财政拨款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pPr>
              <w:pStyle w:val="11"/>
            </w:pPr>
            <w:r>
              <w:t>栏次</w:t>
            </w:r>
          </w:p>
        </w:tc>
        <w:tc>
          <w:tcPr>
            <w:tcW w:w="3798" w:type="dxa"/>
            <w:vAlign w:val="center"/>
          </w:tcPr>
          <w:p>
            <w:pPr>
              <w:pStyle w:val="11"/>
            </w:pPr>
            <w:r>
              <w:t>1</w:t>
            </w:r>
          </w:p>
        </w:tc>
        <w:tc>
          <w:tcPr>
            <w:tcW w:w="2381" w:type="dxa"/>
            <w:vAlign w:val="center"/>
          </w:tcPr>
          <w:p>
            <w:pPr>
              <w:pStyle w:val="11"/>
            </w:pPr>
            <w:r>
              <w:t>2</w:t>
            </w:r>
          </w:p>
        </w:tc>
        <w:tc>
          <w:tcPr>
            <w:tcW w:w="2381" w:type="dxa"/>
            <w:vAlign w:val="center"/>
          </w:tcPr>
          <w:p>
            <w:pPr>
              <w:pStyle w:val="11"/>
            </w:pPr>
            <w:r>
              <w:t>3</w:t>
            </w:r>
          </w:p>
        </w:tc>
        <w:tc>
          <w:tcPr>
            <w:tcW w:w="2381" w:type="dxa"/>
            <w:vAlign w:val="center"/>
          </w:tcPr>
          <w:p>
            <w:pPr>
              <w:pStyle w:val="11"/>
            </w:pPr>
            <w:r>
              <w:t>4</w:t>
            </w:r>
          </w:p>
        </w:tc>
        <w:tc>
          <w:tcPr>
            <w:tcW w:w="2381" w:type="dxa"/>
            <w:vAlign w:val="center"/>
          </w:tcPr>
          <w:p>
            <w:pPr>
              <w:pStyle w:val="11"/>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pPr>
              <w:pStyle w:val="14"/>
            </w:pPr>
          </w:p>
        </w:tc>
        <w:tc>
          <w:tcPr>
            <w:tcW w:w="3798" w:type="dxa"/>
            <w:vAlign w:val="center"/>
          </w:tcPr>
          <w:p>
            <w:pPr>
              <w:pStyle w:val="13"/>
            </w:pPr>
          </w:p>
        </w:tc>
        <w:tc>
          <w:tcPr>
            <w:tcW w:w="2381" w:type="dxa"/>
            <w:vAlign w:val="center"/>
          </w:tcPr>
          <w:p>
            <w:pPr>
              <w:pStyle w:val="12"/>
            </w:pPr>
          </w:p>
        </w:tc>
        <w:tc>
          <w:tcPr>
            <w:tcW w:w="2381" w:type="dxa"/>
            <w:vAlign w:val="center"/>
          </w:tcPr>
          <w:p>
            <w:pPr>
              <w:pStyle w:val="12"/>
            </w:pPr>
          </w:p>
        </w:tc>
        <w:tc>
          <w:tcPr>
            <w:tcW w:w="2381" w:type="dxa"/>
            <w:vAlign w:val="center"/>
          </w:tcPr>
          <w:p>
            <w:pPr>
              <w:pStyle w:val="12"/>
            </w:pPr>
          </w:p>
        </w:tc>
        <w:tc>
          <w:tcPr>
            <w:tcW w:w="2381" w:type="dxa"/>
            <w:vAlign w:val="center"/>
          </w:tcPr>
          <w:p>
            <w:pPr>
              <w:pStyle w:val="12"/>
            </w:pPr>
          </w:p>
        </w:tc>
      </w:tr>
    </w:tbl>
    <w:p>
      <w:pPr>
        <w:spacing w:before="0" w:after="0" w:line="240" w:lineRule="auto"/>
        <w:ind w:firstLine="420"/>
        <w:jc w:val="left"/>
        <w:outlineLvl w:val="9"/>
      </w:pPr>
      <w:r>
        <w:rPr>
          <w:rFonts w:ascii="方正书宋_GBK" w:hAnsi="方正书宋_GBK" w:eastAsia="方正书宋_GBK" w:cs="方正书宋_GBK"/>
          <w:color w:val="000000"/>
          <w:sz w:val="21"/>
        </w:rPr>
        <w:t>注：无财政拨款“三公”经费支出预算，空表列示。</w:t>
      </w:r>
    </w:p>
    <w:p>
      <w:pPr>
        <w:spacing w:before="0" w:after="0" w:line="240" w:lineRule="auto"/>
        <w:ind w:firstLine="0"/>
        <w:jc w:val="center"/>
        <w:outlineLvl w:val="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FFFFFF"/>
          <w:sz w:val="21"/>
        </w:rPr>
        <w:t>第一部分  中共顺平县委网络安全和信息化委员会办公室2025年部门预算信息公开情况说明</w:t>
      </w:r>
    </w:p>
    <w:p>
      <w:pPr>
        <w:spacing w:before="0" w:after="0" w:line="240" w:lineRule="auto"/>
        <w:ind w:firstLine="0"/>
        <w:jc w:val="center"/>
        <w:outlineLvl w:val="9"/>
      </w:pPr>
      <w:r>
        <w:rPr>
          <w:rFonts w:ascii="方正小标宋_GBK" w:hAnsi="方正小标宋_GBK" w:eastAsia="方正小标宋_GBK" w:cs="方正小标宋_GBK"/>
          <w:color w:val="000000"/>
          <w:sz w:val="44"/>
        </w:rPr>
        <w:t>中共顺平县委网络安全和信息化委员会办公室2025年部门预算信息公开情况说明</w:t>
      </w:r>
    </w:p>
    <w:p>
      <w:pPr>
        <w:spacing w:before="0" w:after="0" w:line="500" w:lineRule="exact"/>
        <w:ind w:firstLine="560"/>
        <w:jc w:val="left"/>
        <w:outlineLvl w:val="9"/>
      </w:pPr>
      <w:r>
        <w:rPr>
          <w:rFonts w:ascii="Times New Roman" w:hAnsi="Times New Roman" w:eastAsia="方正仿宋_GBK" w:cs="Times New Roman"/>
          <w:color w:val="000000"/>
          <w:sz w:val="28"/>
        </w:rPr>
        <w:t>按照《中华人民共和国预算法》、《地方预决算公开操作规程》和《关于进一步推进预算公开工作的实施意见》规定，现将中共顺平县委网络安全和信息化委员会办公室2025年部门预算公开如下：</w:t>
      </w:r>
    </w:p>
    <w:p>
      <w:pPr>
        <w:spacing w:before="10" w:after="10" w:line="360" w:lineRule="auto"/>
        <w:ind w:firstLine="640"/>
        <w:jc w:val="left"/>
        <w:outlineLvl w:val="2"/>
      </w:pPr>
      <w:bookmarkStart w:id="9" w:name="_Toc_3_3_0000000010"/>
      <w:r>
        <w:rPr>
          <w:rFonts w:ascii="黑体" w:hAnsi="黑体" w:eastAsia="黑体" w:cs="黑体"/>
          <w:color w:val="000000"/>
          <w:sz w:val="32"/>
        </w:rPr>
        <w:t>一、部门职责及机构设置情况</w:t>
      </w:r>
      <w:bookmarkEnd w:id="9"/>
    </w:p>
    <w:p>
      <w:pPr>
        <w:spacing w:before="0" w:after="0" w:line="240" w:lineRule="auto"/>
        <w:ind w:firstLine="640"/>
        <w:jc w:val="left"/>
        <w:outlineLvl w:val="9"/>
      </w:pPr>
      <w:r>
        <w:rPr>
          <w:rFonts w:ascii="方正楷体_GBK" w:hAnsi="方正楷体_GBK" w:eastAsia="方正楷体_GBK" w:cs="方正楷体_GBK"/>
          <w:b/>
          <w:color w:val="000000"/>
          <w:sz w:val="32"/>
        </w:rPr>
        <w:t>部门职责：</w:t>
      </w:r>
    </w:p>
    <w:p>
      <w:pPr>
        <w:pStyle w:val="26"/>
        <w:rPr>
          <w:rFonts w:ascii="Times New Roman" w:hAnsi="Times New Roman" w:eastAsia="方正仿宋_GBK" w:cs="Times New Roman"/>
          <w:color w:val="000000"/>
          <w:sz w:val="28"/>
          <w:szCs w:val="24"/>
          <w:lang w:val="en-US" w:eastAsia="uk-UA" w:bidi="ar-SA"/>
        </w:rPr>
      </w:pPr>
      <w:r>
        <w:rPr>
          <w:rFonts w:ascii="Times New Roman" w:hAnsi="Times New Roman" w:eastAsia="方正仿宋_GBK" w:cs="Times New Roman"/>
          <w:color w:val="000000"/>
          <w:sz w:val="28"/>
          <w:szCs w:val="24"/>
          <w:lang w:val="en-US" w:eastAsia="uk-UA" w:bidi="ar-SA"/>
        </w:rPr>
        <w:t>（一）负责处理县委网络安全和信息化委员会日常事务工作。协调督促有关方面落实委员会的决定事项、工作部署和要求，组织开展对涉及我市县政治、经济、文化、社会、生态及军事等各个领域的网络安全和信息化重大问题研究，向委员会提出工作建议。</w:t>
      </w:r>
    </w:p>
    <w:p>
      <w:pPr>
        <w:pStyle w:val="26"/>
        <w:rPr>
          <w:rFonts w:ascii="Times New Roman" w:hAnsi="Times New Roman" w:eastAsia="方正仿宋_GBK" w:cs="Times New Roman"/>
          <w:color w:val="000000"/>
          <w:sz w:val="28"/>
          <w:szCs w:val="24"/>
          <w:lang w:val="en-US" w:eastAsia="uk-UA" w:bidi="ar-SA"/>
        </w:rPr>
      </w:pPr>
      <w:r>
        <w:rPr>
          <w:rFonts w:ascii="Times New Roman" w:hAnsi="Times New Roman" w:eastAsia="方正仿宋_GBK" w:cs="Times New Roman"/>
          <w:color w:val="000000"/>
          <w:sz w:val="28"/>
          <w:szCs w:val="24"/>
          <w:lang w:val="en-US" w:eastAsia="uk-UA" w:bidi="ar-SA"/>
        </w:rPr>
        <w:t>（二）组织研究起草我县网络安全和信息化发展战略、宏观规划和重大政策。统筹推进我县网络安全和信息化法治、标准建设，根据职责权限负责相关法规、规章等的起草、实施和监督检查，根据职责权限推动落实网络安全和信息化领域国家标准并监督实施；依法完善与信息化相关的统计调查制度。</w:t>
      </w:r>
    </w:p>
    <w:p>
      <w:pPr>
        <w:pStyle w:val="26"/>
        <w:rPr>
          <w:rFonts w:ascii="Times New Roman" w:hAnsi="Times New Roman" w:eastAsia="方正仿宋_GBK" w:cs="Times New Roman"/>
          <w:color w:val="000000"/>
          <w:sz w:val="28"/>
          <w:szCs w:val="24"/>
          <w:lang w:val="en-US" w:eastAsia="uk-UA" w:bidi="ar-SA"/>
        </w:rPr>
      </w:pPr>
      <w:r>
        <w:rPr>
          <w:rFonts w:ascii="Times New Roman" w:hAnsi="Times New Roman" w:eastAsia="方正仿宋_GBK" w:cs="Times New Roman"/>
          <w:color w:val="000000"/>
          <w:sz w:val="28"/>
          <w:szCs w:val="24"/>
          <w:lang w:val="en-US" w:eastAsia="uk-UA" w:bidi="ar-SA"/>
        </w:rPr>
        <w:t>（三）统筹协调全县网络安全保障体系和可信体系建设。牵头协调有关部门制定相关行业网络安全规划及保障评价指标体系，协调信息安全保护工作；指导推进全县党政军部门、重点行业网络安全保障和信息化工作；协调推动网络安全和信息化核心技术、关键设备等重大科技攻关，统筹推进网络安全和信息化军民融合深度发展；推进网络强县建设，协调推动全县公共服务和社会治理信息化；指导全县网络安全信息共享和通报。</w:t>
      </w:r>
    </w:p>
    <w:p>
      <w:pPr>
        <w:pStyle w:val="26"/>
        <w:rPr>
          <w:rFonts w:ascii="Times New Roman" w:hAnsi="Times New Roman" w:eastAsia="方正仿宋_GBK" w:cs="Times New Roman"/>
          <w:color w:val="000000"/>
          <w:sz w:val="28"/>
          <w:szCs w:val="24"/>
          <w:lang w:val="en-US" w:eastAsia="uk-UA" w:bidi="ar-SA"/>
        </w:rPr>
      </w:pPr>
      <w:r>
        <w:rPr>
          <w:rFonts w:ascii="Times New Roman" w:hAnsi="Times New Roman" w:eastAsia="方正仿宋_GBK" w:cs="Times New Roman"/>
          <w:color w:val="000000"/>
          <w:sz w:val="28"/>
          <w:szCs w:val="24"/>
          <w:lang w:val="en-US" w:eastAsia="uk-UA" w:bidi="ar-SA"/>
        </w:rPr>
        <w:t>（四）督促落实我县涉及政治、经济、文化、社会、生态及军事等各个领域网络安全和信息化重大事项；负责协调处理网络安全和信息化重大突发事件与有关应急工作。</w:t>
      </w:r>
    </w:p>
    <w:p>
      <w:pPr>
        <w:pStyle w:val="26"/>
        <w:rPr>
          <w:rFonts w:ascii="Times New Roman" w:hAnsi="Times New Roman" w:eastAsia="方正仿宋_GBK" w:cs="Times New Roman"/>
          <w:color w:val="000000"/>
          <w:sz w:val="28"/>
          <w:szCs w:val="24"/>
          <w:lang w:val="en-US" w:eastAsia="uk-UA" w:bidi="ar-SA"/>
        </w:rPr>
      </w:pPr>
      <w:r>
        <w:rPr>
          <w:rFonts w:ascii="Times New Roman" w:hAnsi="Times New Roman" w:eastAsia="方正仿宋_GBK" w:cs="Times New Roman"/>
          <w:color w:val="000000"/>
          <w:sz w:val="28"/>
          <w:szCs w:val="24"/>
          <w:lang w:val="en-US" w:eastAsia="uk-UA" w:bidi="ar-SA"/>
        </w:rPr>
        <w:t>（五）负责全县互联网信息内容管理。统筹协调组织互联网宣传管理和舆论引导工作，组织开展网上评论，指导推动网络评论队伍建设，维护互联网意识形态安全；研究拟订互联网新闻信息传播相关政策；负责互联网信息内容监督管理执法，组织开展网络舆论生态治理，依法指导和管理本县落地网站及县内新媒体新应用，会同有关部门处置和封堵网上有害信息，依照相关法律和规定查处违法违规行为和网站。</w:t>
      </w:r>
    </w:p>
    <w:p>
      <w:pPr>
        <w:pStyle w:val="26"/>
        <w:rPr>
          <w:rFonts w:ascii="Times New Roman" w:hAnsi="Times New Roman" w:eastAsia="方正仿宋_GBK" w:cs="Times New Roman"/>
          <w:color w:val="000000"/>
          <w:sz w:val="28"/>
          <w:szCs w:val="24"/>
          <w:lang w:val="en-US" w:eastAsia="uk-UA" w:bidi="ar-SA"/>
        </w:rPr>
      </w:pPr>
      <w:r>
        <w:rPr>
          <w:rFonts w:ascii="Times New Roman" w:hAnsi="Times New Roman" w:eastAsia="方正仿宋_GBK" w:cs="Times New Roman"/>
          <w:color w:val="000000"/>
          <w:sz w:val="28"/>
          <w:szCs w:val="24"/>
          <w:lang w:val="en-US" w:eastAsia="uk-UA" w:bidi="ar-SA"/>
        </w:rPr>
        <w:t>（六）负责指导协调全县网络舆情工作。收集、分析、研判、报送和处置网络舆情信息，依法规范舆情服务市场。</w:t>
      </w:r>
    </w:p>
    <w:p>
      <w:pPr>
        <w:pStyle w:val="26"/>
        <w:rPr>
          <w:rFonts w:ascii="Times New Roman" w:hAnsi="Times New Roman" w:eastAsia="方正仿宋_GBK" w:cs="Times New Roman"/>
          <w:color w:val="000000"/>
          <w:sz w:val="28"/>
          <w:szCs w:val="24"/>
          <w:lang w:val="en-US" w:eastAsia="uk-UA" w:bidi="ar-SA"/>
        </w:rPr>
      </w:pPr>
      <w:r>
        <w:rPr>
          <w:rFonts w:ascii="Times New Roman" w:hAnsi="Times New Roman" w:eastAsia="方正仿宋_GBK" w:cs="Times New Roman"/>
          <w:color w:val="000000"/>
          <w:sz w:val="28"/>
          <w:szCs w:val="24"/>
          <w:lang w:val="en-US" w:eastAsia="uk-UA" w:bidi="ar-SA"/>
        </w:rPr>
        <w:t>（七）推动全县网络阵地建设和重点新闻网站规划建设。指导协调网络游戏、网络视听、网络出版等相关业务，推动移动互联网发展，会同有关部门推动传统媒体与新兴媒体融合发展；负责全县网站转载新闻稿源的管理。</w:t>
      </w:r>
    </w:p>
    <w:p>
      <w:pPr>
        <w:pStyle w:val="26"/>
        <w:rPr>
          <w:rFonts w:ascii="Times New Roman" w:hAnsi="Times New Roman" w:eastAsia="方正仿宋_GBK" w:cs="Times New Roman"/>
          <w:color w:val="000000"/>
          <w:sz w:val="28"/>
          <w:szCs w:val="24"/>
          <w:lang w:val="en-US" w:eastAsia="uk-UA" w:bidi="ar-SA"/>
        </w:rPr>
      </w:pPr>
      <w:r>
        <w:rPr>
          <w:rFonts w:ascii="Times New Roman" w:hAnsi="Times New Roman" w:eastAsia="方正仿宋_GBK" w:cs="Times New Roman"/>
          <w:color w:val="000000"/>
          <w:sz w:val="28"/>
          <w:szCs w:val="24"/>
          <w:lang w:val="en-US" w:eastAsia="uk-UA" w:bidi="ar-SA"/>
        </w:rPr>
        <w:t>（八）推动全县网络社会工作和网络文化、网络文明建设；发展、联系、服务网络社会组织，指导互联网行业自律，推进网站党建工作。</w:t>
      </w:r>
    </w:p>
    <w:p>
      <w:pPr>
        <w:pStyle w:val="26"/>
        <w:rPr>
          <w:rFonts w:ascii="Times New Roman" w:hAnsi="Times New Roman" w:eastAsia="方正仿宋_GBK" w:cs="Times New Roman"/>
          <w:color w:val="000000"/>
          <w:sz w:val="28"/>
          <w:szCs w:val="24"/>
          <w:lang w:val="en-US" w:eastAsia="uk-UA" w:bidi="ar-SA"/>
        </w:rPr>
      </w:pPr>
      <w:r>
        <w:rPr>
          <w:rFonts w:ascii="Times New Roman" w:hAnsi="Times New Roman" w:eastAsia="方正仿宋_GBK" w:cs="Times New Roman"/>
          <w:color w:val="000000"/>
          <w:sz w:val="28"/>
          <w:szCs w:val="24"/>
          <w:lang w:val="en-US" w:eastAsia="uk-UA" w:bidi="ar-SA"/>
        </w:rPr>
        <w:t>（九）落实国家互联网信息服务资本准入和信息网络行业安全审查的有关政策。依法负责全县网络新闻业务和论坛、博客、搜索引擎等具有新闻舆论及社会动员功能业务的审批及日常监管。指导全县有关部门督促电信运营企业、接入服务企业、域名注册管理和服务机构做好域名注册、互联网地址(IP地址）分配、网站登记备案、接入以及网络行为主体身份信息核对等基础管理工作；指导协调有关部门推进新技术新应用安全评估，统筹协调全市移动互联网管理。</w:t>
      </w:r>
    </w:p>
    <w:p>
      <w:pPr>
        <w:pStyle w:val="26"/>
        <w:rPr>
          <w:rFonts w:ascii="Times New Roman" w:hAnsi="Times New Roman" w:eastAsia="方正仿宋_GBK" w:cs="Times New Roman"/>
          <w:color w:val="000000"/>
          <w:sz w:val="28"/>
          <w:szCs w:val="24"/>
          <w:lang w:val="en-US" w:eastAsia="uk-UA" w:bidi="ar-SA"/>
        </w:rPr>
      </w:pPr>
      <w:r>
        <w:rPr>
          <w:rFonts w:ascii="Times New Roman" w:hAnsi="Times New Roman" w:eastAsia="方正仿宋_GBK" w:cs="Times New Roman"/>
          <w:color w:val="000000"/>
          <w:sz w:val="28"/>
          <w:szCs w:val="24"/>
          <w:lang w:val="en-US" w:eastAsia="uk-UA" w:bidi="ar-SA"/>
        </w:rPr>
        <w:t>（十）协调推进全县信息网络行业自主创新和发展。协调开展全县互联网经济和发展态势研究，推动建立健全我县信息网络行业投融资支持服务体系、技术创新服务体系，统筹协调全县重要信息资源的开发利用与共享。</w:t>
      </w:r>
    </w:p>
    <w:p>
      <w:pPr>
        <w:pStyle w:val="26"/>
        <w:rPr>
          <w:rFonts w:ascii="Times New Roman" w:hAnsi="Times New Roman" w:eastAsia="方正仿宋_GBK" w:cs="Times New Roman"/>
          <w:color w:val="000000"/>
          <w:sz w:val="28"/>
          <w:szCs w:val="24"/>
          <w:lang w:val="en-US" w:eastAsia="uk-UA" w:bidi="ar-SA"/>
        </w:rPr>
      </w:pPr>
      <w:r>
        <w:rPr>
          <w:rFonts w:ascii="Times New Roman" w:hAnsi="Times New Roman" w:eastAsia="方正仿宋_GBK" w:cs="Times New Roman"/>
          <w:color w:val="000000"/>
          <w:sz w:val="28"/>
          <w:szCs w:val="24"/>
          <w:lang w:val="en-US" w:eastAsia="uk-UA" w:bidi="ar-SA"/>
        </w:rPr>
        <w:t>（十一）规划指导县内机构开展金融信息服务业务。组织开展全县金融信息服务市场监管；协调金融监管部门建立全县网络金融信息发布、传播监管制度及工作机制。</w:t>
      </w:r>
    </w:p>
    <w:p>
      <w:pPr>
        <w:pStyle w:val="26"/>
        <w:rPr>
          <w:rFonts w:ascii="Times New Roman" w:hAnsi="Times New Roman" w:eastAsia="方正仿宋_GBK" w:cs="Times New Roman"/>
          <w:color w:val="000000"/>
          <w:sz w:val="28"/>
          <w:szCs w:val="24"/>
          <w:lang w:val="en-US" w:eastAsia="uk-UA" w:bidi="ar-SA"/>
        </w:rPr>
      </w:pPr>
      <w:r>
        <w:rPr>
          <w:rFonts w:ascii="Times New Roman" w:hAnsi="Times New Roman" w:eastAsia="方正仿宋_GBK" w:cs="Times New Roman"/>
          <w:color w:val="000000"/>
          <w:sz w:val="28"/>
          <w:szCs w:val="24"/>
          <w:lang w:val="en-US" w:eastAsia="uk-UA" w:bidi="ar-SA"/>
        </w:rPr>
        <w:t>（十二）组织拟订网络安全和信息化干部人才队伍发展规划，组织开展网信系统干部教育培训和人才队伍建设，规划指导全县互联网新闻信息服务从业人员教育培训和考评工作，组织开展网络媒介素养教育。</w:t>
      </w:r>
    </w:p>
    <w:p>
      <w:pPr>
        <w:pStyle w:val="26"/>
        <w:rPr>
          <w:rFonts w:ascii="Times New Roman" w:hAnsi="Times New Roman" w:eastAsia="方正仿宋_GBK" w:cs="Times New Roman"/>
          <w:color w:val="000000"/>
          <w:sz w:val="28"/>
          <w:szCs w:val="24"/>
          <w:lang w:val="en-US" w:eastAsia="uk-UA" w:bidi="ar-SA"/>
        </w:rPr>
      </w:pPr>
      <w:r>
        <w:rPr>
          <w:rFonts w:ascii="Times New Roman" w:hAnsi="Times New Roman" w:eastAsia="方正仿宋_GBK" w:cs="Times New Roman"/>
          <w:color w:val="000000"/>
          <w:sz w:val="28"/>
          <w:szCs w:val="24"/>
          <w:lang w:val="en-US" w:eastAsia="uk-UA" w:bidi="ar-SA"/>
        </w:rPr>
        <w:t>（十三）组织开展相关领域国内国际交流与合作。</w:t>
      </w:r>
    </w:p>
    <w:p>
      <w:pPr>
        <w:pStyle w:val="26"/>
        <w:rPr>
          <w:rFonts w:ascii="Times New Roman" w:hAnsi="Times New Roman" w:eastAsia="方正仿宋_GBK" w:cstheme="minorBidi"/>
        </w:rPr>
      </w:pPr>
      <w:r>
        <w:rPr>
          <w:rFonts w:ascii="Times New Roman" w:hAnsi="Times New Roman" w:eastAsia="方正仿宋_GBK" w:cstheme="minorBidi"/>
        </w:rPr>
        <w:t>（十四）指导、检查、推动各乡镇和有关部门网络安全和信息化工作。</w:t>
      </w:r>
    </w:p>
    <w:p>
      <w:pPr>
        <w:pStyle w:val="18"/>
      </w:pPr>
      <w:r>
        <w:rPr>
          <w:rFonts w:ascii="Times New Roman" w:hAnsi="Times New Roman" w:eastAsia="方正仿宋_GBK" w:cstheme="minorBidi"/>
        </w:rPr>
        <w:t>（十五）完成市委网络安全和信息化委员会办公室(市互联网信息办公室)和县委、县政府及县委网络安全和信息化委员交办的其他任务。</w:t>
      </w:r>
    </w:p>
    <w:p>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pPr>
        <w:spacing w:before="0" w:after="0" w:line="240" w:lineRule="auto"/>
        <w:ind w:firstLine="0"/>
        <w:jc w:val="center"/>
        <w:outlineLvl w:val="9"/>
      </w:pPr>
      <w:r>
        <w:rPr>
          <w:rFonts w:ascii="方正小标宋_GBK" w:hAnsi="方正小标宋_GBK" w:eastAsia="方正小标宋_GBK" w:cs="方正小标宋_GBK"/>
          <w:color w:val="000000"/>
          <w:sz w:val="32"/>
        </w:rPr>
        <w:t>部门机构设置情况</w:t>
      </w:r>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pPr>
              <w:pStyle w:val="11"/>
            </w:pPr>
            <w:r>
              <w:t>单位名称</w:t>
            </w:r>
          </w:p>
        </w:tc>
        <w:tc>
          <w:tcPr>
            <w:tcW w:w="1843" w:type="dxa"/>
            <w:vAlign w:val="center"/>
          </w:tcPr>
          <w:p>
            <w:pPr>
              <w:pStyle w:val="11"/>
            </w:pPr>
            <w:r>
              <w:t>单位性质</w:t>
            </w:r>
          </w:p>
        </w:tc>
        <w:tc>
          <w:tcPr>
            <w:tcW w:w="2126" w:type="dxa"/>
            <w:vAlign w:val="center"/>
          </w:tcPr>
          <w:p>
            <w:pPr>
              <w:pStyle w:val="11"/>
            </w:pPr>
            <w:r>
              <w:t>单位规格</w:t>
            </w:r>
          </w:p>
        </w:tc>
        <w:tc>
          <w:tcPr>
            <w:tcW w:w="3827" w:type="dxa"/>
            <w:vAlign w:val="center"/>
          </w:tcPr>
          <w:p>
            <w:pPr>
              <w:pStyle w:val="11"/>
            </w:pPr>
            <w:r>
              <w:t>经费保障形式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pPr>
              <w:pStyle w:val="13"/>
            </w:pPr>
            <w:r>
              <w:t>中共顺平县委网络安全和信息化委员会办公室（本级）</w:t>
            </w:r>
          </w:p>
        </w:tc>
        <w:tc>
          <w:tcPr>
            <w:tcW w:w="1843" w:type="dxa"/>
            <w:vAlign w:val="center"/>
          </w:tcPr>
          <w:p>
            <w:pPr>
              <w:pStyle w:val="14"/>
            </w:pPr>
            <w:r>
              <w:t>行政</w:t>
            </w:r>
          </w:p>
        </w:tc>
        <w:tc>
          <w:tcPr>
            <w:tcW w:w="2126" w:type="dxa"/>
            <w:vAlign w:val="center"/>
          </w:tcPr>
          <w:p>
            <w:pPr>
              <w:pStyle w:val="14"/>
            </w:pPr>
            <w:r>
              <w:t>正科级</w:t>
            </w:r>
          </w:p>
        </w:tc>
        <w:tc>
          <w:tcPr>
            <w:tcW w:w="3827" w:type="dxa"/>
            <w:vAlign w:val="center"/>
          </w:tcPr>
          <w:p>
            <w:pPr>
              <w:pStyle w:val="14"/>
            </w:pPr>
            <w:r>
              <w:t>财政拨款</w:t>
            </w:r>
          </w:p>
        </w:tc>
      </w:tr>
    </w:tbl>
    <w:p>
      <w:pPr>
        <w:spacing w:before="10" w:after="10" w:line="360" w:lineRule="auto"/>
        <w:ind w:firstLine="640"/>
        <w:jc w:val="left"/>
        <w:outlineLvl w:val="2"/>
      </w:pPr>
      <w:bookmarkStart w:id="10" w:name="_Toc_3_3_0000000011"/>
      <w:r>
        <w:rPr>
          <w:rFonts w:ascii="黑体" w:hAnsi="黑体" w:eastAsia="黑体" w:cs="黑体"/>
          <w:color w:val="000000"/>
          <w:sz w:val="32"/>
        </w:rPr>
        <w:t>二、部门预算安排的总体情况</w:t>
      </w:r>
      <w:bookmarkEnd w:id="10"/>
    </w:p>
    <w:p>
      <w:pPr>
        <w:pStyle w:val="19"/>
      </w:pPr>
      <w:r>
        <w:t>按照预算管理有关规定，目前我部门预算的编制实行综合预算管理，即全部收入和支出都反映在预算中。中共顺平县委网络安全和信息化委员会办公室机关及所属事业单位的收支包含在部门预算中。</w:t>
      </w:r>
    </w:p>
    <w:p>
      <w:pPr>
        <w:pStyle w:val="19"/>
      </w:pPr>
      <w:r>
        <w:t>（一）202</w:t>
      </w:r>
      <w:r>
        <w:rPr>
          <w:rFonts w:hint="eastAsia"/>
          <w:lang w:val="en-US" w:eastAsia="zh-CN"/>
        </w:rPr>
        <w:t>5</w:t>
      </w:r>
      <w:r>
        <w:t>年部门预算收入情况</w:t>
      </w:r>
    </w:p>
    <w:p>
      <w:pPr>
        <w:pStyle w:val="19"/>
        <w:rPr>
          <w:rFonts w:ascii="Times New Roman" w:hAnsi="Times New Roman" w:cs="Times New Roman"/>
        </w:rPr>
      </w:pPr>
      <w:r>
        <w:t>反映本部门当年全部收入。202</w:t>
      </w:r>
      <w:r>
        <w:rPr>
          <w:rFonts w:hint="eastAsia"/>
          <w:lang w:val="en-US" w:eastAsia="zh-CN"/>
        </w:rPr>
        <w:t>5</w:t>
      </w:r>
      <w:r>
        <w:t>年部门预算收入总额</w:t>
      </w:r>
      <w:r>
        <w:rPr>
          <w:rFonts w:ascii="Times New Roman" w:hAnsi="Times New Roman" w:cs="Times New Roman"/>
        </w:rPr>
        <w:t>41.44万元，其中：一般公共预算收入41.44万元，政府性基金预算收入0万元，财政专户核拨收入0万元，其它来源收入0万元。</w:t>
      </w:r>
    </w:p>
    <w:p>
      <w:pPr>
        <w:pStyle w:val="19"/>
      </w:pPr>
      <w:r>
        <w:t>(二)202</w:t>
      </w:r>
      <w:r>
        <w:rPr>
          <w:rFonts w:hint="eastAsia"/>
          <w:lang w:val="en-US" w:eastAsia="zh-CN"/>
        </w:rPr>
        <w:t>5</w:t>
      </w:r>
      <w:r>
        <w:t>年部门预算支出情况</w:t>
      </w:r>
    </w:p>
    <w:p>
      <w:pPr>
        <w:pStyle w:val="19"/>
      </w:pPr>
      <w:r>
        <w:t>202</w:t>
      </w:r>
      <w:r>
        <w:rPr>
          <w:rFonts w:hint="eastAsia"/>
          <w:lang w:val="en-US" w:eastAsia="zh-CN"/>
        </w:rPr>
        <w:t>5</w:t>
      </w:r>
      <w:r>
        <w:t>年部门支出安排预算总额41.44万元，其中：基本支出41.44万元，包括人员经费35.45万元和日常公用经费5.99万元；项目支出</w:t>
      </w:r>
      <w:r>
        <w:rPr>
          <w:rFonts w:hint="eastAsia"/>
          <w:lang w:val="en-US" w:eastAsia="zh-CN"/>
        </w:rPr>
        <w:t>0</w:t>
      </w:r>
      <w:r>
        <w:t>万元。</w:t>
      </w:r>
    </w:p>
    <w:p>
      <w:pPr>
        <w:spacing w:before="10" w:after="10" w:line="360" w:lineRule="auto"/>
        <w:ind w:firstLine="640"/>
        <w:jc w:val="left"/>
        <w:outlineLvl w:val="2"/>
      </w:pPr>
      <w:bookmarkStart w:id="11" w:name="_Toc_3_3_0000000012"/>
      <w:r>
        <w:rPr>
          <w:rFonts w:ascii="黑体" w:hAnsi="黑体" w:eastAsia="黑体" w:cs="黑体"/>
          <w:color w:val="000000"/>
          <w:sz w:val="32"/>
        </w:rPr>
        <w:t>三、机关运行经费安排情况</w:t>
      </w:r>
      <w:bookmarkEnd w:id="11"/>
    </w:p>
    <w:p>
      <w:pPr>
        <w:pStyle w:val="20"/>
      </w:pPr>
      <w:r>
        <w:t>202</w:t>
      </w:r>
      <w:r>
        <w:rPr>
          <w:rFonts w:hint="eastAsia"/>
          <w:lang w:val="en-US" w:eastAsia="zh-CN"/>
        </w:rPr>
        <w:t>5</w:t>
      </w:r>
      <w:r>
        <w:t>年，我部门机关运行经费安排</w:t>
      </w:r>
      <w:r>
        <w:rPr>
          <w:rFonts w:hint="eastAsia"/>
          <w:lang w:val="en-US" w:eastAsia="zh-CN"/>
        </w:rPr>
        <w:t>5.99</w:t>
      </w:r>
      <w:r>
        <w:t>万元，其中：办公费</w:t>
      </w:r>
      <w:r>
        <w:rPr>
          <w:rFonts w:hint="eastAsia"/>
          <w:lang w:val="en-US" w:eastAsia="zh-CN"/>
        </w:rPr>
        <w:t>0.63</w:t>
      </w:r>
      <w:r>
        <w:t>万元，水费0万元，邮电费</w:t>
      </w:r>
      <w:r>
        <w:rPr>
          <w:rFonts w:hint="eastAsia"/>
          <w:lang w:val="en-US" w:eastAsia="zh-CN"/>
        </w:rPr>
        <w:t>1.88</w:t>
      </w:r>
      <w:r>
        <w:t>万元，物业管理费0万元，差旅费0万元，维修（护）费0万元，工会经费0.</w:t>
      </w:r>
      <w:r>
        <w:rPr>
          <w:rFonts w:hint="eastAsia"/>
          <w:lang w:val="en-US" w:eastAsia="zh-CN"/>
        </w:rPr>
        <w:t>2万元、</w:t>
      </w:r>
      <w:r>
        <w:t>福利费0.</w:t>
      </w:r>
      <w:r>
        <w:rPr>
          <w:rFonts w:hint="eastAsia"/>
          <w:lang w:val="en-US" w:eastAsia="zh-CN"/>
        </w:rPr>
        <w:t>0</w:t>
      </w:r>
      <w:r>
        <w:t>2万元，公务用车运行维护费0万元，其他交通费用</w:t>
      </w:r>
      <w:r>
        <w:rPr>
          <w:rFonts w:hint="eastAsia"/>
          <w:lang w:val="en-US" w:eastAsia="zh-CN"/>
        </w:rPr>
        <w:t>3.26</w:t>
      </w:r>
      <w:r>
        <w:t>万元。</w:t>
      </w:r>
    </w:p>
    <w:p>
      <w:pPr>
        <w:spacing w:before="10" w:after="10" w:line="360" w:lineRule="auto"/>
        <w:ind w:firstLine="640"/>
        <w:jc w:val="left"/>
        <w:outlineLvl w:val="2"/>
      </w:pPr>
      <w:bookmarkStart w:id="12" w:name="_Toc_3_3_0000000013"/>
      <w:r>
        <w:rPr>
          <w:rFonts w:ascii="黑体" w:hAnsi="黑体" w:eastAsia="黑体" w:cs="黑体"/>
          <w:color w:val="000000"/>
          <w:sz w:val="32"/>
        </w:rPr>
        <w:t>四、财政拨款“三公”经费预算情况及增减变化原因</w:t>
      </w:r>
      <w:bookmarkEnd w:id="12"/>
    </w:p>
    <w:p>
      <w:pPr>
        <w:pStyle w:val="21"/>
      </w:pPr>
      <w:r>
        <w:t>202</w:t>
      </w:r>
      <w:r>
        <w:rPr>
          <w:rFonts w:hint="eastAsia"/>
          <w:lang w:val="en-US" w:eastAsia="zh-CN"/>
        </w:rPr>
        <w:t>5</w:t>
      </w:r>
      <w:r>
        <w:t>年，我部门财政拨款“三公”经费预算安排0万元，其中因公出国（境）费0万元；公务用车购置及运维费0万元（其中：公务用车购置费为0万元，公务用车运维费0万元)；公务接待费0万元。与202</w:t>
      </w:r>
      <w:r>
        <w:rPr>
          <w:rFonts w:hint="eastAsia"/>
          <w:lang w:val="en-US" w:eastAsia="zh-CN"/>
        </w:rPr>
        <w:t>4</w:t>
      </w:r>
      <w:r>
        <w:t>年相比无变化。</w:t>
      </w:r>
    </w:p>
    <w:p>
      <w:pPr>
        <w:spacing w:before="10" w:after="10" w:line="360" w:lineRule="auto"/>
        <w:ind w:firstLine="640"/>
        <w:jc w:val="left"/>
        <w:outlineLvl w:val="2"/>
      </w:pPr>
      <w:bookmarkStart w:id="13" w:name="_Toc_3_3_0000000014"/>
      <w:r>
        <w:rPr>
          <w:rFonts w:ascii="黑体" w:hAnsi="黑体" w:eastAsia="黑体" w:cs="黑体"/>
          <w:color w:val="000000"/>
          <w:sz w:val="32"/>
        </w:rPr>
        <w:t>五、部门整体绩效目标</w:t>
      </w:r>
      <w:bookmarkEnd w:id="13"/>
    </w:p>
    <w:p>
      <w:pPr>
        <w:spacing w:before="0" w:after="0" w:line="500" w:lineRule="exact"/>
        <w:ind w:firstLine="560"/>
        <w:jc w:val="left"/>
        <w:outlineLvl w:val="9"/>
      </w:pPr>
      <w:r>
        <w:rPr>
          <w:rFonts w:ascii="Times New Roman" w:hAnsi="Times New Roman" w:eastAsia="方正仿宋_GBK" w:cs="Times New Roman"/>
          <w:color w:val="000000"/>
          <w:sz w:val="28"/>
        </w:rPr>
        <w:t>（一）总体绩效目标</w:t>
      </w:r>
    </w:p>
    <w:p>
      <w:pPr>
        <w:pStyle w:val="22"/>
      </w:pPr>
      <w:r>
        <w:t>2025年是“十四五”规划收官之年，也是全面贯彻落实党的二十大精神的关键之年。做好今年工作意义重大。县委网信办坚持以习近平新时代中国特色社会主义思想特别是习近平总书记关于网络强国的重要思想为指导，深入学习贯彻习近平总书记对河北、保定重要指示批示精神，全面贯彻落实党的二十大精神，深刻领悟“两个确立”的决定性意义，增强“四个意识”、坚定“四个自信”、做到“两个维护”，着力加强网络内容建设管理，持续完善网络综合治理体系，坚决筑牢网络安全屏障，统筹推进信息化发展，为我县经济社会高质量发展提供有力服务、支撑和保障。</w:t>
      </w:r>
    </w:p>
    <w:p>
      <w:pPr>
        <w:spacing w:before="0" w:after="0" w:line="500" w:lineRule="exact"/>
        <w:ind w:firstLine="560"/>
        <w:jc w:val="left"/>
        <w:outlineLvl w:val="9"/>
      </w:pPr>
      <w:r>
        <w:rPr>
          <w:rFonts w:ascii="Times New Roman" w:hAnsi="Times New Roman" w:eastAsia="方正仿宋_GBK" w:cs="Times New Roman"/>
          <w:color w:val="000000"/>
          <w:sz w:val="28"/>
        </w:rPr>
        <w:t>（二）分项绩效目标</w:t>
      </w:r>
    </w:p>
    <w:p>
      <w:pPr>
        <w:pStyle w:val="23"/>
      </w:pPr>
      <w:r>
        <w:t>（一）坚持用习近平新时代中国特色社会主义思想凝心铸魂。</w:t>
      </w:r>
    </w:p>
    <w:p>
      <w:pPr>
        <w:pStyle w:val="23"/>
      </w:pPr>
      <w:r>
        <w:t>（二）巩固壮大网上主流思想舆论，为顺平高质量发展营造良好氛围。</w:t>
      </w:r>
    </w:p>
    <w:p>
      <w:pPr>
        <w:pStyle w:val="23"/>
      </w:pPr>
      <w:r>
        <w:t>（三）加强网络舆情服务保障，坚决维护网络意识形态安全。</w:t>
      </w:r>
    </w:p>
    <w:p>
      <w:pPr>
        <w:pStyle w:val="23"/>
      </w:pPr>
      <w:r>
        <w:t>（四）提高网络综合治理效能，推动形成良好生态。</w:t>
      </w:r>
    </w:p>
    <w:p>
      <w:pPr>
        <w:pStyle w:val="23"/>
      </w:pPr>
      <w:r>
        <w:t>（五）加强网络安全保障能力建设，筑牢网络安全屏障。</w:t>
      </w:r>
    </w:p>
    <w:p>
      <w:pPr>
        <w:pStyle w:val="23"/>
      </w:pPr>
      <w:r>
        <w:t>（六）加快推进信息化建设，赋能经济社会高质量发展。</w:t>
      </w:r>
    </w:p>
    <w:p>
      <w:pPr>
        <w:spacing w:before="0" w:after="0" w:line="500" w:lineRule="exact"/>
        <w:ind w:firstLine="560"/>
        <w:jc w:val="left"/>
        <w:outlineLvl w:val="9"/>
      </w:pPr>
      <w:r>
        <w:rPr>
          <w:rFonts w:ascii="Times New Roman" w:hAnsi="Times New Roman" w:eastAsia="方正仿宋_GBK" w:cs="Times New Roman"/>
          <w:color w:val="000000"/>
          <w:sz w:val="28"/>
        </w:rPr>
        <w:t>（三）工作保障措施</w:t>
      </w:r>
    </w:p>
    <w:p>
      <w:pPr>
        <w:pStyle w:val="24"/>
      </w:pPr>
      <w:r>
        <w:t>（一）用心用情做好习近平总书记和习近平新时代中国特色社会主义思想网上传播，在新媒体平台开设学习专栏，持续兴起学习宣传贯彻热潮。加强习近平总书记在河北、在保定考察重要讲话精神网上宣传阐释，推出一批优质网络稿件、网评文章和</w:t>
      </w:r>
      <w:bookmarkStart w:id="20" w:name="_GoBack"/>
      <w:bookmarkEnd w:id="20"/>
      <w:r>
        <w:t>新媒体作品，激励顺平人民更好牢记嘱托、感恩奋进。</w:t>
      </w:r>
    </w:p>
    <w:p>
      <w:pPr>
        <w:pStyle w:val="24"/>
      </w:pPr>
      <w:r>
        <w:t>（二）精心开展网上重大主题宣传。做好中央和省委全会、市委全会、县委全会以及全国两会等重要会议网上宣传。围绕县委中心工作，策划制作一批融媒作品，展示好我县高质量发展向上突围的生动实践。同时，加大优质网络内容供给。深入挖掘顺平历史文化、红色文化、传统文化，打造具有顺平特色的融媒精品；开展“网络中国节”系列活动，谋划形式多样、内容丰富的“短视频”大赛，讲好顺平故事、传播好顺平声音。</w:t>
      </w:r>
    </w:p>
    <w:p>
      <w:pPr>
        <w:pStyle w:val="24"/>
      </w:pPr>
      <w:r>
        <w:t>（三）快速高效管控处置网络舆情。落实“早发现、早报告、早处置”要求，进一步完善舆情监测发现、信息发布、联动处置、责任落实等机制，有力提升网上舆论引导针对性实效性。同时，加强网络评论引导。建立网络评论技能培训、动态管理等工作机制，持续推动全县骨干网评员队伍扩量提质。加强与顺平籍网络大V线上互动、线下沟通，引导其关键时刻为顺平正面发声。</w:t>
      </w:r>
    </w:p>
    <w:p>
      <w:pPr>
        <w:pStyle w:val="24"/>
      </w:pPr>
      <w:r>
        <w:t>（四）强与互联网行政执法部门协作，深入推进“净网”等专项活动。健全网络辟谣联动机制，深入开展网络谣言专项整治。持续实施“争做顺平好网民”工程，强化网上道德示范引领。开展“青少年网络保护”系列公益讲座，提升青少年网络素养。策划开展网络文明主题活动，推动群众性精神文明创建活动向网上延伸。落实“八五”普法规划，普网络的法、用网络普法，推动依法上网、文明上网蔚然成风。</w:t>
      </w:r>
    </w:p>
    <w:p>
      <w:pPr>
        <w:pStyle w:val="24"/>
      </w:pPr>
      <w:r>
        <w:t>（五）实行常态化网络安全检查，推动各级各部门建立隐患自查整改机制，提高网络安全应急处置能力。加强网络安全常态化宣传，举办国家网络安全宣传周顺平活动，提高人民群众的网络安全意识和技能水平，推动形成全社会共同维护网络安全的良好氛围。</w:t>
      </w:r>
    </w:p>
    <w:p>
      <w:pPr>
        <w:pStyle w:val="24"/>
        <w:sectPr>
          <w:pgSz w:w="16840" w:h="11900" w:orient="landscape"/>
          <w:pgMar w:top="1361" w:right="1020" w:bottom="1361" w:left="1020" w:header="720" w:footer="720" w:gutter="0"/>
          <w:cols w:space="720" w:num="1"/>
        </w:sectPr>
      </w:pPr>
      <w:r>
        <w:t>（六）持续开展县级政务信息化项目初审，进一步完善工作流程。深入推进我县各级各部门各行业IPv6规模部署及应用，强化我县IPv6部署情况检测。深入推进数字乡村试点建设，组织参加年度数字乡村建设典型案例征集活动。按照中央、省、市</w:t>
      </w:r>
      <w:r>
        <w:rPr>
          <w:rFonts w:hint="eastAsia"/>
          <w:lang w:eastAsia="zh-CN"/>
        </w:rPr>
        <w:t>委</w:t>
      </w:r>
      <w:r>
        <w:t>网信办部署，深入实施全民数字素养与技能提升行动，举办全民数字素养与技能提升月活动。</w:t>
      </w:r>
    </w:p>
    <w:p>
      <w:pPr>
        <w:spacing w:before="10" w:after="10" w:line="360" w:lineRule="auto"/>
        <w:ind w:firstLine="640"/>
        <w:jc w:val="left"/>
        <w:outlineLvl w:val="2"/>
        <w:rPr>
          <w:rFonts w:ascii="黑体" w:hAnsi="黑体" w:eastAsia="黑体" w:cs="黑体"/>
          <w:color w:val="000000"/>
          <w:sz w:val="32"/>
        </w:rPr>
      </w:pPr>
      <w:bookmarkStart w:id="14" w:name="_Toc_3_3_0000000015"/>
      <w:r>
        <w:rPr>
          <w:rFonts w:ascii="黑体" w:hAnsi="黑体" w:eastAsia="黑体" w:cs="黑体"/>
          <w:color w:val="000000"/>
          <w:sz w:val="32"/>
        </w:rPr>
        <w:t>六、部门主管专项资金预算安排情况及绩效目标</w:t>
      </w:r>
      <w:bookmarkEnd w:id="14"/>
    </w:p>
    <w:p>
      <w:pPr>
        <w:spacing w:before="10" w:after="10" w:line="360" w:lineRule="auto"/>
        <w:ind w:firstLine="640"/>
        <w:jc w:val="left"/>
        <w:outlineLvl w:val="2"/>
        <w:rPr>
          <w:rFonts w:hint="eastAsia" w:ascii="黑体" w:hAnsi="黑体" w:eastAsia="黑体" w:cs="黑体"/>
          <w:color w:val="000000"/>
          <w:sz w:val="32"/>
          <w:lang w:val="en-US" w:eastAsia="zh-CN"/>
        </w:rPr>
      </w:pPr>
      <w:r>
        <w:rPr>
          <w:rFonts w:hint="eastAsia" w:ascii="黑体" w:hAnsi="黑体" w:eastAsia="黑体" w:cs="黑体"/>
          <w:color w:val="000000"/>
          <w:sz w:val="32"/>
          <w:lang w:val="en-US" w:eastAsia="zh-CN"/>
        </w:rPr>
        <w:t>无</w:t>
      </w:r>
    </w:p>
    <w:p>
      <w:pPr>
        <w:spacing w:before="10" w:after="10" w:line="360" w:lineRule="auto"/>
        <w:ind w:firstLine="640"/>
        <w:jc w:val="left"/>
        <w:outlineLvl w:val="2"/>
        <w:rPr>
          <w:rFonts w:ascii="黑体" w:hAnsi="黑体" w:eastAsia="黑体" w:cs="黑体"/>
          <w:color w:val="000000"/>
          <w:sz w:val="32"/>
        </w:rPr>
        <w:sectPr>
          <w:pgSz w:w="16840" w:h="11900" w:orient="landscape"/>
          <w:pgMar w:top="1361" w:right="1020" w:bottom="1134" w:left="1020" w:header="720" w:footer="720" w:gutter="0"/>
          <w:cols w:space="720" w:num="1"/>
        </w:sectPr>
      </w:pPr>
    </w:p>
    <w:p>
      <w:pPr>
        <w:numPr>
          <w:ilvl w:val="0"/>
          <w:numId w:val="1"/>
        </w:numPr>
        <w:spacing w:before="10" w:after="10" w:line="360" w:lineRule="auto"/>
        <w:ind w:firstLine="640"/>
        <w:jc w:val="left"/>
        <w:outlineLvl w:val="2"/>
        <w:rPr>
          <w:rFonts w:ascii="黑体" w:hAnsi="黑体" w:eastAsia="黑体" w:cs="黑体"/>
          <w:color w:val="000000"/>
          <w:sz w:val="32"/>
        </w:rPr>
      </w:pPr>
      <w:bookmarkStart w:id="15" w:name="_Toc_3_3_0000000016"/>
      <w:r>
        <w:rPr>
          <w:rFonts w:ascii="黑体" w:hAnsi="黑体" w:eastAsia="黑体" w:cs="黑体"/>
          <w:color w:val="000000"/>
          <w:sz w:val="32"/>
        </w:rPr>
        <w:t>部门项目预算安排情况及绩效目标</w:t>
      </w:r>
      <w:bookmarkEnd w:id="15"/>
    </w:p>
    <w:p>
      <w:pPr>
        <w:numPr>
          <w:ilvl w:val="0"/>
          <w:numId w:val="0"/>
        </w:numPr>
        <w:spacing w:before="10" w:after="10" w:line="360" w:lineRule="auto"/>
        <w:jc w:val="left"/>
        <w:outlineLvl w:val="2"/>
        <w:rPr>
          <w:rFonts w:hint="default" w:ascii="黑体" w:hAnsi="黑体" w:eastAsia="黑体" w:cs="黑体"/>
          <w:color w:val="000000"/>
          <w:sz w:val="32"/>
          <w:lang w:val="en-US" w:eastAsia="zh-CN"/>
        </w:rPr>
      </w:pPr>
      <w:r>
        <w:rPr>
          <w:rFonts w:hint="eastAsia" w:ascii="黑体" w:hAnsi="黑体" w:eastAsia="黑体" w:cs="黑体"/>
          <w:color w:val="000000"/>
          <w:sz w:val="32"/>
          <w:lang w:val="en-US" w:eastAsia="zh-CN"/>
        </w:rPr>
        <w:t xml:space="preserve">    无</w:t>
      </w:r>
    </w:p>
    <w:p>
      <w:pPr>
        <w:numPr>
          <w:ilvl w:val="0"/>
          <w:numId w:val="1"/>
        </w:numPr>
        <w:spacing w:before="10" w:after="10" w:line="360" w:lineRule="auto"/>
        <w:ind w:firstLine="640"/>
        <w:jc w:val="left"/>
        <w:outlineLvl w:val="2"/>
        <w:rPr>
          <w:rFonts w:ascii="黑体" w:hAnsi="黑体" w:eastAsia="黑体" w:cs="黑体"/>
          <w:color w:val="000000"/>
          <w:sz w:val="32"/>
        </w:rPr>
        <w:sectPr>
          <w:pgSz w:w="16840" w:h="11900" w:orient="landscape"/>
          <w:pgMar w:top="1361" w:right="1020" w:bottom="1134" w:left="1020" w:header="720" w:footer="720" w:gutter="0"/>
          <w:cols w:space="720" w:num="1"/>
        </w:sectPr>
      </w:pPr>
    </w:p>
    <w:p>
      <w:pPr>
        <w:spacing w:before="10" w:after="10" w:line="240" w:lineRule="auto"/>
        <w:ind w:firstLine="640"/>
        <w:jc w:val="left"/>
        <w:outlineLvl w:val="2"/>
      </w:pPr>
      <w:bookmarkStart w:id="16" w:name="_Toc_3_3_0000000017"/>
      <w:r>
        <w:rPr>
          <w:rFonts w:ascii="黑体" w:hAnsi="黑体" w:eastAsia="黑体" w:cs="黑体"/>
          <w:color w:val="000000"/>
          <w:sz w:val="32"/>
        </w:rPr>
        <w:t>八、政府采购预算情况</w:t>
      </w:r>
      <w:bookmarkEnd w:id="16"/>
    </w:p>
    <w:p>
      <w:pPr>
        <w:spacing w:before="0" w:after="0" w:line="240" w:lineRule="auto"/>
        <w:ind w:firstLine="0"/>
        <w:jc w:val="center"/>
        <w:outlineLvl w:val="9"/>
      </w:pPr>
      <w:r>
        <w:rPr>
          <w:rFonts w:ascii="方正小标宋_GBK" w:hAnsi="方正小标宋_GBK" w:eastAsia="方正小标宋_GBK" w:cs="方正小标宋_GBK"/>
          <w:color w:val="000000"/>
          <w:sz w:val="36"/>
        </w:rPr>
        <w:t>部门政府采购预算</w:t>
      </w:r>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7342" w:type="dxa"/>
            <w:gridSpan w:val="7"/>
            <w:tcBorders>
              <w:top w:val="single" w:color="FFFFFF" w:sz="6" w:space="0"/>
              <w:left w:val="single" w:color="FFFFFF" w:sz="6" w:space="0"/>
              <w:right w:val="single" w:color="FFFFFF" w:sz="6" w:space="0"/>
            </w:tcBorders>
            <w:vAlign w:val="center"/>
          </w:tcPr>
          <w:p>
            <w:pPr>
              <w:pStyle w:val="10"/>
            </w:pPr>
            <w:r>
              <w:t>224中共顺平县委网络安全和信息化委员会办公室</w:t>
            </w:r>
          </w:p>
        </w:tc>
        <w:tc>
          <w:tcPr>
            <w:tcW w:w="7712" w:type="dxa"/>
            <w:gridSpan w:val="8"/>
            <w:tcBorders>
              <w:top w:val="single" w:color="FFFFFF" w:sz="6" w:space="0"/>
              <w:left w:val="single" w:color="FFFFFF" w:sz="6" w:space="0"/>
              <w:right w:val="single" w:color="FFFFFF" w:sz="6" w:space="0"/>
            </w:tcBorders>
            <w:vAlign w:val="center"/>
          </w:tcPr>
          <w:p>
            <w:pPr>
              <w:pStyle w:val="25"/>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2665" w:type="dxa"/>
            <w:gridSpan w:val="2"/>
            <w:vAlign w:val="center"/>
          </w:tcPr>
          <w:p>
            <w:pPr>
              <w:pStyle w:val="11"/>
            </w:pPr>
            <w:r>
              <w:t>政府采购项目来源</w:t>
            </w:r>
          </w:p>
        </w:tc>
        <w:tc>
          <w:tcPr>
            <w:tcW w:w="1134" w:type="dxa"/>
            <w:vMerge w:val="restart"/>
            <w:vAlign w:val="center"/>
          </w:tcPr>
          <w:p>
            <w:pPr>
              <w:pStyle w:val="11"/>
            </w:pPr>
            <w:r>
              <w:t>采购物品名称</w:t>
            </w:r>
          </w:p>
        </w:tc>
        <w:tc>
          <w:tcPr>
            <w:tcW w:w="1134" w:type="dxa"/>
            <w:vMerge w:val="restart"/>
            <w:vAlign w:val="center"/>
          </w:tcPr>
          <w:p>
            <w:pPr>
              <w:pStyle w:val="11"/>
            </w:pPr>
            <w:r>
              <w:t>政府采购目录序号</w:t>
            </w:r>
          </w:p>
        </w:tc>
        <w:tc>
          <w:tcPr>
            <w:tcW w:w="709" w:type="dxa"/>
            <w:vMerge w:val="restart"/>
            <w:vAlign w:val="center"/>
          </w:tcPr>
          <w:p>
            <w:pPr>
              <w:pStyle w:val="11"/>
            </w:pPr>
            <w:r>
              <w:t>计量  单位</w:t>
            </w:r>
          </w:p>
        </w:tc>
        <w:tc>
          <w:tcPr>
            <w:tcW w:w="850" w:type="dxa"/>
            <w:vMerge w:val="restart"/>
            <w:vAlign w:val="center"/>
          </w:tcPr>
          <w:p>
            <w:pPr>
              <w:pStyle w:val="11"/>
            </w:pPr>
            <w:r>
              <w:t>数量</w:t>
            </w:r>
          </w:p>
        </w:tc>
        <w:tc>
          <w:tcPr>
            <w:tcW w:w="850" w:type="dxa"/>
            <w:vMerge w:val="restart"/>
            <w:vAlign w:val="center"/>
          </w:tcPr>
          <w:p>
            <w:pPr>
              <w:pStyle w:val="11"/>
            </w:pPr>
            <w:r>
              <w:t>单价</w:t>
            </w:r>
          </w:p>
        </w:tc>
        <w:tc>
          <w:tcPr>
            <w:tcW w:w="6748" w:type="dxa"/>
            <w:gridSpan w:val="7"/>
            <w:vAlign w:val="center"/>
          </w:tcPr>
          <w:p>
            <w:pPr>
              <w:pStyle w:val="11"/>
            </w:pPr>
            <w:r>
              <w:t>政府采购金额（当年部门预算安排资金）</w:t>
            </w:r>
          </w:p>
        </w:tc>
        <w:tc>
          <w:tcPr>
            <w:tcW w:w="964" w:type="dxa"/>
            <w:vMerge w:val="restart"/>
            <w:vAlign w:val="center"/>
          </w:tcPr>
          <w:p>
            <w:pPr>
              <w:pStyle w:val="11"/>
            </w:pPr>
            <w:r>
              <w:t>2025年  预留中  小微企  业份额</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1701" w:type="dxa"/>
            <w:vAlign w:val="center"/>
          </w:tcPr>
          <w:p>
            <w:pPr>
              <w:pStyle w:val="11"/>
            </w:pPr>
            <w:r>
              <w:t>项目名称</w:t>
            </w:r>
          </w:p>
        </w:tc>
        <w:tc>
          <w:tcPr>
            <w:tcW w:w="964" w:type="dxa"/>
            <w:vAlign w:val="center"/>
          </w:tcPr>
          <w:p>
            <w:pPr>
              <w:pStyle w:val="11"/>
            </w:pPr>
            <w:r>
              <w:t>预算    资金</w:t>
            </w:r>
          </w:p>
        </w:tc>
        <w:tc>
          <w:tcPr>
            <w:tcW w:w="1134" w:type="dxa"/>
            <w:vMerge w:val="continue"/>
          </w:tcPr>
          <w:p/>
        </w:tc>
        <w:tc>
          <w:tcPr>
            <w:tcW w:w="1134" w:type="dxa"/>
            <w:vMerge w:val="continue"/>
          </w:tcPr>
          <w:p/>
        </w:tc>
        <w:tc>
          <w:tcPr>
            <w:tcW w:w="709" w:type="dxa"/>
            <w:vMerge w:val="continue"/>
          </w:tcPr>
          <w:p/>
        </w:tc>
        <w:tc>
          <w:tcPr>
            <w:tcW w:w="850" w:type="dxa"/>
            <w:vMerge w:val="continue"/>
          </w:tcPr>
          <w:p/>
        </w:tc>
        <w:tc>
          <w:tcPr>
            <w:tcW w:w="850" w:type="dxa"/>
            <w:vMerge w:val="continue"/>
          </w:tcPr>
          <w:p/>
        </w:tc>
        <w:tc>
          <w:tcPr>
            <w:tcW w:w="964" w:type="dxa"/>
            <w:vAlign w:val="center"/>
          </w:tcPr>
          <w:p>
            <w:pPr>
              <w:pStyle w:val="11"/>
            </w:pPr>
            <w:r>
              <w:t>合计</w:t>
            </w:r>
          </w:p>
        </w:tc>
        <w:tc>
          <w:tcPr>
            <w:tcW w:w="964" w:type="dxa"/>
            <w:vAlign w:val="center"/>
          </w:tcPr>
          <w:p>
            <w:pPr>
              <w:pStyle w:val="11"/>
            </w:pPr>
            <w:r>
              <w:t>一般公共预算拨款</w:t>
            </w:r>
          </w:p>
        </w:tc>
        <w:tc>
          <w:tcPr>
            <w:tcW w:w="964" w:type="dxa"/>
            <w:vAlign w:val="center"/>
          </w:tcPr>
          <w:p>
            <w:pPr>
              <w:pStyle w:val="11"/>
            </w:pPr>
            <w:r>
              <w:t>基金预算拨款</w:t>
            </w:r>
          </w:p>
        </w:tc>
        <w:tc>
          <w:tcPr>
            <w:tcW w:w="964" w:type="dxa"/>
            <w:vAlign w:val="center"/>
          </w:tcPr>
          <w:p>
            <w:pPr>
              <w:pStyle w:val="11"/>
            </w:pPr>
            <w:r>
              <w:t>国有资本经营预算拨款</w:t>
            </w:r>
          </w:p>
        </w:tc>
        <w:tc>
          <w:tcPr>
            <w:tcW w:w="964" w:type="dxa"/>
            <w:vAlign w:val="center"/>
          </w:tcPr>
          <w:p>
            <w:pPr>
              <w:pStyle w:val="11"/>
            </w:pPr>
            <w:r>
              <w:t>财政专户核拨</w:t>
            </w:r>
          </w:p>
        </w:tc>
        <w:tc>
          <w:tcPr>
            <w:tcW w:w="964" w:type="dxa"/>
            <w:vAlign w:val="center"/>
          </w:tcPr>
          <w:p>
            <w:pPr>
              <w:pStyle w:val="11"/>
            </w:pPr>
            <w:r>
              <w:t>单位    资金</w:t>
            </w:r>
          </w:p>
        </w:tc>
        <w:tc>
          <w:tcPr>
            <w:tcW w:w="964" w:type="dxa"/>
            <w:vAlign w:val="center"/>
          </w:tcPr>
          <w:p>
            <w:pPr>
              <w:pStyle w:val="11"/>
            </w:pPr>
            <w:r>
              <w:t>上年结转结余</w:t>
            </w:r>
          </w:p>
        </w:tc>
        <w:tc>
          <w:tcPr>
            <w:tcW w:w="964"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pPr>
              <w:pStyle w:val="13"/>
            </w:pPr>
          </w:p>
        </w:tc>
        <w:tc>
          <w:tcPr>
            <w:tcW w:w="964" w:type="dxa"/>
            <w:vAlign w:val="center"/>
          </w:tcPr>
          <w:p>
            <w:pPr>
              <w:pStyle w:val="12"/>
            </w:pPr>
          </w:p>
        </w:tc>
        <w:tc>
          <w:tcPr>
            <w:tcW w:w="1134" w:type="dxa"/>
            <w:vAlign w:val="center"/>
          </w:tcPr>
          <w:p>
            <w:pPr>
              <w:pStyle w:val="13"/>
            </w:pPr>
          </w:p>
        </w:tc>
        <w:tc>
          <w:tcPr>
            <w:tcW w:w="1134" w:type="dxa"/>
            <w:vAlign w:val="center"/>
          </w:tcPr>
          <w:p>
            <w:pPr>
              <w:pStyle w:val="13"/>
            </w:pPr>
          </w:p>
        </w:tc>
        <w:tc>
          <w:tcPr>
            <w:tcW w:w="709" w:type="dxa"/>
            <w:vAlign w:val="center"/>
          </w:tcPr>
          <w:p>
            <w:pPr>
              <w:pStyle w:val="14"/>
            </w:pPr>
          </w:p>
        </w:tc>
        <w:tc>
          <w:tcPr>
            <w:tcW w:w="850" w:type="dxa"/>
            <w:vAlign w:val="center"/>
          </w:tcPr>
          <w:p>
            <w:pPr>
              <w:pStyle w:val="12"/>
            </w:pPr>
          </w:p>
        </w:tc>
        <w:tc>
          <w:tcPr>
            <w:tcW w:w="850"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r>
    </w:tbl>
    <w:p>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2"/>
      </w:pPr>
      <w:bookmarkStart w:id="17" w:name="_Toc_3_3_0000000018"/>
      <w:r>
        <w:rPr>
          <w:rFonts w:ascii="黑体" w:hAnsi="黑体" w:eastAsia="黑体" w:cs="黑体"/>
          <w:color w:val="000000"/>
          <w:sz w:val="32"/>
        </w:rPr>
        <w:t>九、国有资产信息</w:t>
      </w:r>
      <w:bookmarkEnd w:id="17"/>
    </w:p>
    <w:p>
      <w:pPr>
        <w:spacing w:before="0" w:after="0" w:line="500" w:lineRule="exact"/>
        <w:ind w:firstLine="560"/>
        <w:jc w:val="left"/>
        <w:outlineLvl w:val="9"/>
      </w:pPr>
      <w:r>
        <w:rPr>
          <w:rFonts w:ascii="Times New Roman" w:hAnsi="Times New Roman" w:eastAsia="方正仿宋_GBK" w:cs="Times New Roman"/>
          <w:b w:val="0"/>
          <w:color w:val="000000"/>
          <w:sz w:val="28"/>
        </w:rPr>
        <w:t>中共顺平县委网络安全和信息化委员会办公室（含所属单位）上年末固定资产金额为</w:t>
      </w:r>
      <w:r>
        <w:rPr>
          <w:rFonts w:hint="eastAsia" w:eastAsia="方正仿宋_GBK" w:cs="Times New Roman"/>
          <w:b w:val="0"/>
          <w:color w:val="000000"/>
          <w:sz w:val="28"/>
          <w:lang w:val="en-US" w:eastAsia="zh-CN"/>
        </w:rPr>
        <w:t>1.96</w:t>
      </w:r>
      <w:r>
        <w:rPr>
          <w:rFonts w:ascii="Times New Roman" w:hAnsi="Times New Roman" w:eastAsia="方正仿宋_GBK" w:cs="Times New Roman"/>
          <w:b w:val="0"/>
          <w:color w:val="000000"/>
          <w:sz w:val="28"/>
        </w:rPr>
        <w:t>万元（详见下表）。本年度拟购置固定资产总额为0.00万元，已按要求列入政府采购预算，详见政府采购预算表。</w:t>
      </w:r>
    </w:p>
    <w:p>
      <w:pPr>
        <w:spacing w:before="0" w:after="0" w:line="240" w:lineRule="auto"/>
        <w:ind w:firstLine="0"/>
        <w:jc w:val="center"/>
        <w:outlineLvl w:val="9"/>
      </w:pPr>
      <w:r>
        <w:rPr>
          <w:rFonts w:ascii="方正小标宋_GBK" w:hAnsi="方正小标宋_GBK" w:eastAsia="方正小标宋_GBK" w:cs="方正小标宋_GBK"/>
          <w:color w:val="000000"/>
          <w:sz w:val="36"/>
        </w:rPr>
        <w:t>部门固定资产占用情况表</w:t>
      </w:r>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tcBorders>
              <w:top w:val="single" w:color="FFFFFF" w:sz="6" w:space="0"/>
              <w:left w:val="single" w:color="FFFFFF" w:sz="6" w:space="0"/>
              <w:right w:val="single" w:color="FFFFFF" w:sz="6" w:space="0"/>
            </w:tcBorders>
            <w:vAlign w:val="center"/>
          </w:tcPr>
          <w:p>
            <w:pPr>
              <w:pStyle w:val="10"/>
            </w:pPr>
            <w:r>
              <w:t>224中共顺平县委网络安全和信息化委员会办公室</w:t>
            </w:r>
          </w:p>
        </w:tc>
        <w:tc>
          <w:tcPr>
            <w:tcW w:w="5670" w:type="dxa"/>
            <w:gridSpan w:val="2"/>
            <w:tcBorders>
              <w:top w:val="single" w:color="FFFFFF" w:sz="6" w:space="0"/>
              <w:left w:val="single" w:color="FFFFFF" w:sz="6" w:space="0"/>
              <w:right w:val="single" w:color="FFFFFF" w:sz="6" w:space="0"/>
            </w:tcBorders>
            <w:vAlign w:val="center"/>
          </w:tcPr>
          <w:p>
            <w:pPr>
              <w:pStyle w:val="8"/>
            </w:pPr>
            <w:r>
              <w:t>截止时间：2024-12-31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vAlign w:val="center"/>
          </w:tcPr>
          <w:p>
            <w:pPr>
              <w:pStyle w:val="11"/>
            </w:pPr>
            <w:r>
              <w:t>项   目</w:t>
            </w:r>
          </w:p>
        </w:tc>
        <w:tc>
          <w:tcPr>
            <w:tcW w:w="2835" w:type="dxa"/>
            <w:vAlign w:val="center"/>
          </w:tcPr>
          <w:p>
            <w:pPr>
              <w:pStyle w:val="11"/>
            </w:pPr>
            <w:r>
              <w:t>数量</w:t>
            </w:r>
          </w:p>
        </w:tc>
        <w:tc>
          <w:tcPr>
            <w:tcW w:w="2835" w:type="dxa"/>
            <w:vAlign w:val="center"/>
          </w:tcPr>
          <w:p>
            <w:pPr>
              <w:pStyle w:val="11"/>
            </w:pPr>
            <w:r>
              <w:t>价值（金额单位：万元）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shd w:val="clear" w:color="auto" w:fill="auto"/>
            <w:vAlign w:val="center"/>
          </w:tcPr>
          <w:p>
            <w:pPr>
              <w:widowControl/>
              <w:jc w:val="left"/>
              <w:rPr>
                <w:rFonts w:ascii="Times New Roman" w:hAnsi="Times New Roman" w:eastAsia="Times New Roman"/>
                <w:sz w:val="24"/>
                <w:szCs w:val="24"/>
                <w:lang w:val="en-US" w:eastAsia="uk-UA" w:bidi="ar-SA"/>
              </w:rPr>
            </w:pPr>
            <w:r>
              <w:rPr>
                <w:rFonts w:hint="eastAsia" w:ascii="仿宋_GB2312" w:hAnsi="仿宋" w:eastAsia="仿宋_GB2312" w:cs="宋体"/>
                <w:color w:val="auto"/>
                <w:kern w:val="0"/>
                <w:sz w:val="24"/>
                <w:szCs w:val="24"/>
              </w:rPr>
              <w:t xml:space="preserve">  1、房屋（平方米）</w:t>
            </w:r>
          </w:p>
        </w:tc>
        <w:tc>
          <w:tcPr>
            <w:tcW w:w="2835" w:type="dxa"/>
            <w:shd w:val="clear" w:color="auto" w:fill="auto"/>
            <w:vAlign w:val="center"/>
          </w:tcPr>
          <w:p>
            <w:pPr>
              <w:widowControl/>
              <w:jc w:val="center"/>
              <w:rPr>
                <w:rFonts w:ascii="Times New Roman" w:hAnsi="Times New Roman" w:eastAsia="Times New Roman"/>
                <w:sz w:val="24"/>
                <w:szCs w:val="24"/>
                <w:lang w:val="en-US" w:eastAsia="uk-UA" w:bidi="ar-SA"/>
              </w:rPr>
            </w:pPr>
          </w:p>
        </w:tc>
        <w:tc>
          <w:tcPr>
            <w:tcW w:w="2835" w:type="dxa"/>
            <w:shd w:val="clear" w:color="auto" w:fill="auto"/>
            <w:vAlign w:val="center"/>
          </w:tcPr>
          <w:p>
            <w:pPr>
              <w:widowControl/>
              <w:jc w:val="center"/>
              <w:rPr>
                <w:rFonts w:ascii="Times New Roman" w:hAnsi="Times New Roman" w:eastAsia="Times New Roman"/>
                <w:sz w:val="24"/>
                <w:szCs w:val="24"/>
                <w:lang w:val="en-US" w:eastAsia="uk-UA" w:bidi="ar-SA"/>
              </w:rPr>
            </w:pPr>
            <w:r>
              <w:rPr>
                <w:rFonts w:hint="eastAsia" w:ascii="仿宋_GB2312" w:hAnsi="仿宋" w:eastAsia="仿宋_GB2312" w:cs="宋体"/>
                <w:color w:val="auto"/>
                <w:kern w:val="0"/>
                <w:sz w:val="24"/>
                <w:szCs w:val="24"/>
                <w:lang w:val="en-US" w:eastAsia="zh-CN"/>
              </w:rPr>
              <w:t>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0" w:type="auto"/>
            <w:shd w:val="clear" w:color="auto" w:fill="auto"/>
            <w:vAlign w:val="center"/>
          </w:tcPr>
          <w:p>
            <w:pPr>
              <w:jc w:val="left"/>
              <w:rPr>
                <w:rFonts w:hint="eastAsia" w:ascii="仿宋_GB2312" w:hAnsi="仿宋" w:eastAsia="仿宋_GB2312" w:cs="宋体"/>
                <w:color w:val="auto"/>
                <w:kern w:val="0"/>
                <w:sz w:val="24"/>
                <w:szCs w:val="24"/>
                <w:lang w:val="en-US" w:eastAsia="uk-UA" w:bidi="ar-SA"/>
              </w:rPr>
            </w:pPr>
            <w:r>
              <w:rPr>
                <w:rFonts w:hint="eastAsia" w:ascii="仿宋_GB2312" w:hAnsi="仿宋" w:eastAsia="仿宋_GB2312" w:cs="宋体"/>
                <w:color w:val="auto"/>
                <w:kern w:val="0"/>
                <w:sz w:val="24"/>
                <w:szCs w:val="24"/>
              </w:rPr>
              <w:t xml:space="preserve">   其中：办公用房（平方米）</w:t>
            </w:r>
          </w:p>
        </w:tc>
        <w:tc>
          <w:tcPr>
            <w:tcW w:w="0" w:type="auto"/>
            <w:shd w:val="clear" w:color="auto" w:fill="auto"/>
            <w:vAlign w:val="center"/>
          </w:tcPr>
          <w:p>
            <w:pPr>
              <w:jc w:val="center"/>
              <w:rPr>
                <w:rFonts w:ascii="Times New Roman" w:hAnsi="Times New Roman" w:eastAsia="Times New Roman"/>
                <w:sz w:val="24"/>
                <w:szCs w:val="24"/>
                <w:lang w:val="en-US" w:eastAsia="uk-UA" w:bidi="ar-SA"/>
              </w:rPr>
            </w:pPr>
          </w:p>
        </w:tc>
        <w:tc>
          <w:tcPr>
            <w:tcW w:w="0" w:type="auto"/>
            <w:shd w:val="clear" w:color="auto" w:fill="auto"/>
            <w:vAlign w:val="center"/>
          </w:tcPr>
          <w:p>
            <w:pPr>
              <w:jc w:val="center"/>
              <w:rPr>
                <w:rFonts w:hint="eastAsia" w:ascii="仿宋_GB2312" w:hAnsi="仿宋" w:eastAsia="仿宋_GB2312" w:cs="宋体"/>
                <w:color w:val="auto"/>
                <w:kern w:val="0"/>
                <w:sz w:val="24"/>
                <w:szCs w:val="24"/>
                <w:lang w:val="en-US" w:eastAsia="zh-CN" w:bidi="ar-SA"/>
              </w:rPr>
            </w:pPr>
            <w:r>
              <w:rPr>
                <w:rFonts w:hint="eastAsia" w:ascii="仿宋_GB2312" w:hAnsi="仿宋" w:eastAsia="仿宋_GB2312" w:cs="宋体"/>
                <w:color w:val="auto"/>
                <w:kern w:val="0"/>
                <w:sz w:val="24"/>
                <w:szCs w:val="24"/>
                <w:lang w:val="en-US" w:eastAsia="zh-CN"/>
              </w:rPr>
              <w:t>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0" w:type="auto"/>
            <w:shd w:val="clear" w:color="auto" w:fill="auto"/>
            <w:vAlign w:val="center"/>
          </w:tcPr>
          <w:p>
            <w:pPr>
              <w:widowControl/>
              <w:jc w:val="left"/>
              <w:rPr>
                <w:rFonts w:hint="eastAsia" w:ascii="仿宋_GB2312" w:hAnsi="仿宋" w:eastAsia="仿宋_GB2312" w:cs="宋体"/>
                <w:color w:val="auto"/>
                <w:kern w:val="0"/>
                <w:sz w:val="24"/>
                <w:szCs w:val="24"/>
                <w:lang w:val="en-US" w:eastAsia="uk-UA" w:bidi="ar-SA"/>
              </w:rPr>
            </w:pPr>
            <w:r>
              <w:rPr>
                <w:rFonts w:hint="eastAsia" w:ascii="仿宋_GB2312" w:hAnsi="仿宋" w:eastAsia="仿宋_GB2312" w:cs="宋体"/>
                <w:color w:val="auto"/>
                <w:kern w:val="0"/>
                <w:sz w:val="24"/>
                <w:szCs w:val="24"/>
              </w:rPr>
              <w:t xml:space="preserve">  2、车辆（台、辆）</w:t>
            </w:r>
          </w:p>
        </w:tc>
        <w:tc>
          <w:tcPr>
            <w:tcW w:w="0" w:type="auto"/>
            <w:shd w:val="clear" w:color="auto" w:fill="auto"/>
            <w:vAlign w:val="center"/>
          </w:tcPr>
          <w:p>
            <w:pPr>
              <w:widowControl/>
              <w:jc w:val="center"/>
              <w:rPr>
                <w:rFonts w:ascii="Times New Roman" w:hAnsi="Times New Roman" w:eastAsia="Times New Roman"/>
                <w:sz w:val="24"/>
                <w:szCs w:val="24"/>
                <w:lang w:val="en-US" w:eastAsia="uk-UA" w:bidi="ar-SA"/>
              </w:rPr>
            </w:pPr>
          </w:p>
        </w:tc>
        <w:tc>
          <w:tcPr>
            <w:tcW w:w="0" w:type="auto"/>
            <w:shd w:val="clear" w:color="auto" w:fill="auto"/>
            <w:vAlign w:val="center"/>
          </w:tcPr>
          <w:p>
            <w:pPr>
              <w:widowControl/>
              <w:jc w:val="center"/>
              <w:rPr>
                <w:rFonts w:hint="eastAsia" w:ascii="仿宋_GB2312" w:hAnsi="仿宋" w:eastAsia="仿宋_GB2312" w:cs="宋体"/>
                <w:color w:val="auto"/>
                <w:kern w:val="0"/>
                <w:sz w:val="24"/>
                <w:szCs w:val="24"/>
                <w:lang w:val="en-US" w:eastAsia="zh-CN" w:bidi="ar-SA"/>
              </w:rPr>
            </w:pPr>
            <w:r>
              <w:rPr>
                <w:rFonts w:hint="eastAsia" w:ascii="仿宋_GB2312" w:hAnsi="仿宋" w:eastAsia="仿宋_GB2312" w:cs="宋体"/>
                <w:color w:val="auto"/>
                <w:kern w:val="0"/>
                <w:sz w:val="24"/>
                <w:szCs w:val="24"/>
                <w:lang w:val="en-US" w:eastAsia="zh-CN"/>
              </w:rPr>
              <w:t>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0" w:type="auto"/>
            <w:shd w:val="clear" w:color="auto" w:fill="auto"/>
            <w:vAlign w:val="center"/>
          </w:tcPr>
          <w:p>
            <w:pPr>
              <w:widowControl/>
              <w:jc w:val="left"/>
              <w:rPr>
                <w:rFonts w:hint="eastAsia" w:ascii="仿宋_GB2312" w:hAnsi="仿宋" w:eastAsia="仿宋_GB2312" w:cs="宋体"/>
                <w:color w:val="auto"/>
                <w:kern w:val="0"/>
                <w:sz w:val="24"/>
                <w:szCs w:val="24"/>
                <w:lang w:val="en-US" w:eastAsia="uk-UA" w:bidi="ar-SA"/>
              </w:rPr>
            </w:pPr>
            <w:r>
              <w:rPr>
                <w:rFonts w:hint="eastAsia" w:ascii="仿宋_GB2312" w:hAnsi="仿宋" w:eastAsia="仿宋_GB2312" w:cs="宋体"/>
                <w:color w:val="auto"/>
                <w:kern w:val="0"/>
                <w:sz w:val="24"/>
                <w:szCs w:val="24"/>
              </w:rPr>
              <w:t xml:space="preserve">  3、单价在50万元以上的设备(台、套)</w:t>
            </w:r>
          </w:p>
        </w:tc>
        <w:tc>
          <w:tcPr>
            <w:tcW w:w="0" w:type="auto"/>
            <w:shd w:val="clear" w:color="auto" w:fill="auto"/>
            <w:vAlign w:val="center"/>
          </w:tcPr>
          <w:p>
            <w:pPr>
              <w:widowControl/>
              <w:jc w:val="center"/>
              <w:rPr>
                <w:rFonts w:ascii="Times New Roman" w:hAnsi="Times New Roman" w:eastAsia="Times New Roman"/>
                <w:sz w:val="24"/>
                <w:szCs w:val="24"/>
                <w:lang w:val="en-US" w:eastAsia="uk-UA" w:bidi="ar-SA"/>
              </w:rPr>
            </w:pPr>
          </w:p>
        </w:tc>
        <w:tc>
          <w:tcPr>
            <w:tcW w:w="0" w:type="auto"/>
            <w:shd w:val="clear" w:color="auto" w:fill="auto"/>
            <w:vAlign w:val="center"/>
          </w:tcPr>
          <w:p>
            <w:pPr>
              <w:widowControl/>
              <w:jc w:val="center"/>
              <w:rPr>
                <w:rFonts w:hint="eastAsia" w:ascii="仿宋_GB2312" w:hAnsi="仿宋" w:eastAsia="仿宋_GB2312" w:cs="宋体"/>
                <w:color w:val="auto"/>
                <w:kern w:val="0"/>
                <w:sz w:val="24"/>
                <w:szCs w:val="24"/>
                <w:lang w:val="en-US" w:eastAsia="zh-CN" w:bidi="ar-SA"/>
              </w:rPr>
            </w:pPr>
            <w:r>
              <w:rPr>
                <w:rFonts w:hint="eastAsia" w:ascii="仿宋_GB2312" w:hAnsi="仿宋" w:eastAsia="仿宋_GB2312" w:cs="宋体"/>
                <w:color w:val="auto"/>
                <w:kern w:val="0"/>
                <w:sz w:val="24"/>
                <w:szCs w:val="24"/>
                <w:lang w:val="en-US" w:eastAsia="zh-CN"/>
              </w:rPr>
              <w:t>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0" w:type="auto"/>
            <w:shd w:val="clear" w:color="auto" w:fill="auto"/>
            <w:vAlign w:val="center"/>
          </w:tcPr>
          <w:p>
            <w:pPr>
              <w:widowControl/>
              <w:jc w:val="left"/>
              <w:rPr>
                <w:rFonts w:hint="eastAsia" w:ascii="仿宋_GB2312" w:hAnsi="仿宋" w:eastAsia="仿宋_GB2312" w:cs="宋体"/>
                <w:color w:val="auto"/>
                <w:kern w:val="0"/>
                <w:sz w:val="24"/>
                <w:szCs w:val="24"/>
                <w:lang w:val="en-US" w:eastAsia="uk-UA" w:bidi="ar-SA"/>
              </w:rPr>
            </w:pPr>
            <w:r>
              <w:rPr>
                <w:rFonts w:hint="eastAsia" w:ascii="仿宋_GB2312" w:hAnsi="仿宋" w:eastAsia="仿宋_GB2312" w:cs="宋体"/>
                <w:color w:val="auto"/>
                <w:kern w:val="0"/>
                <w:sz w:val="24"/>
                <w:szCs w:val="24"/>
              </w:rPr>
              <w:t>其中：单价50万元（含）以上的通用设备</w:t>
            </w:r>
          </w:p>
        </w:tc>
        <w:tc>
          <w:tcPr>
            <w:tcW w:w="0" w:type="auto"/>
            <w:shd w:val="clear" w:color="auto" w:fill="auto"/>
            <w:vAlign w:val="center"/>
          </w:tcPr>
          <w:p>
            <w:pPr>
              <w:widowControl/>
              <w:jc w:val="center"/>
              <w:rPr>
                <w:rFonts w:ascii="Times New Roman" w:hAnsi="Times New Roman" w:eastAsia="Times New Roman"/>
                <w:sz w:val="24"/>
                <w:szCs w:val="24"/>
                <w:lang w:val="en-US" w:eastAsia="uk-UA" w:bidi="ar-SA"/>
              </w:rPr>
            </w:pPr>
          </w:p>
        </w:tc>
        <w:tc>
          <w:tcPr>
            <w:tcW w:w="0" w:type="auto"/>
            <w:shd w:val="clear" w:color="auto" w:fill="auto"/>
            <w:vAlign w:val="center"/>
          </w:tcPr>
          <w:p>
            <w:pPr>
              <w:widowControl/>
              <w:jc w:val="center"/>
              <w:rPr>
                <w:rFonts w:hint="eastAsia" w:ascii="仿宋_GB2312" w:hAnsi="仿宋" w:eastAsia="仿宋_GB2312" w:cs="宋体"/>
                <w:color w:val="auto"/>
                <w:kern w:val="0"/>
                <w:sz w:val="24"/>
                <w:szCs w:val="24"/>
                <w:lang w:val="en-US" w:eastAsia="zh-CN" w:bidi="ar-SA"/>
              </w:rPr>
            </w:pPr>
            <w:r>
              <w:rPr>
                <w:rFonts w:hint="eastAsia" w:ascii="仿宋_GB2312" w:hAnsi="仿宋" w:eastAsia="仿宋_GB2312" w:cs="宋体"/>
                <w:color w:val="auto"/>
                <w:kern w:val="0"/>
                <w:sz w:val="24"/>
                <w:szCs w:val="24"/>
                <w:lang w:val="en-US" w:eastAsia="zh-CN"/>
              </w:rPr>
              <w:t>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0" w:type="auto"/>
            <w:shd w:val="clear" w:color="auto" w:fill="auto"/>
            <w:vAlign w:val="center"/>
          </w:tcPr>
          <w:p>
            <w:pPr>
              <w:widowControl/>
              <w:jc w:val="left"/>
              <w:rPr>
                <w:rFonts w:hint="eastAsia" w:ascii="仿宋_GB2312" w:hAnsi="仿宋" w:eastAsia="仿宋_GB2312" w:cs="宋体"/>
                <w:color w:val="auto"/>
                <w:kern w:val="0"/>
                <w:sz w:val="24"/>
                <w:szCs w:val="24"/>
                <w:lang w:val="en-US" w:eastAsia="uk-UA" w:bidi="ar-SA"/>
              </w:rPr>
            </w:pPr>
            <w:r>
              <w:rPr>
                <w:rFonts w:hint="eastAsia" w:ascii="仿宋_GB2312" w:hAnsi="仿宋" w:eastAsia="仿宋_GB2312" w:cs="宋体"/>
                <w:color w:val="auto"/>
                <w:kern w:val="0"/>
                <w:sz w:val="24"/>
                <w:szCs w:val="24"/>
              </w:rPr>
              <w:t xml:space="preserve">     单价100万元（含）以上的通专用设备</w:t>
            </w:r>
          </w:p>
        </w:tc>
        <w:tc>
          <w:tcPr>
            <w:tcW w:w="0" w:type="auto"/>
            <w:shd w:val="clear" w:color="auto" w:fill="auto"/>
            <w:vAlign w:val="center"/>
          </w:tcPr>
          <w:p>
            <w:pPr>
              <w:widowControl/>
              <w:jc w:val="center"/>
              <w:rPr>
                <w:rFonts w:ascii="Times New Roman" w:hAnsi="Times New Roman" w:eastAsia="Times New Roman"/>
                <w:sz w:val="24"/>
                <w:szCs w:val="24"/>
                <w:lang w:val="en-US" w:eastAsia="uk-UA" w:bidi="ar-SA"/>
              </w:rPr>
            </w:pPr>
          </w:p>
        </w:tc>
        <w:tc>
          <w:tcPr>
            <w:tcW w:w="0" w:type="auto"/>
            <w:shd w:val="clear" w:color="auto" w:fill="auto"/>
            <w:vAlign w:val="center"/>
          </w:tcPr>
          <w:p>
            <w:pPr>
              <w:widowControl/>
              <w:jc w:val="center"/>
              <w:rPr>
                <w:rFonts w:hint="eastAsia" w:ascii="仿宋_GB2312" w:hAnsi="仿宋" w:eastAsia="仿宋_GB2312" w:cs="宋体"/>
                <w:color w:val="auto"/>
                <w:kern w:val="0"/>
                <w:sz w:val="24"/>
                <w:szCs w:val="24"/>
                <w:lang w:val="en-US" w:eastAsia="zh-CN" w:bidi="ar-SA"/>
              </w:rPr>
            </w:pPr>
            <w:r>
              <w:rPr>
                <w:rFonts w:hint="eastAsia" w:ascii="仿宋_GB2312" w:hAnsi="仿宋" w:eastAsia="仿宋_GB2312" w:cs="宋体"/>
                <w:color w:val="auto"/>
                <w:kern w:val="0"/>
                <w:sz w:val="24"/>
                <w:szCs w:val="24"/>
                <w:lang w:val="en-US" w:eastAsia="zh-CN"/>
              </w:rPr>
              <w:t>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0" w:type="auto"/>
            <w:shd w:val="clear" w:color="auto" w:fill="auto"/>
            <w:vAlign w:val="center"/>
          </w:tcPr>
          <w:p>
            <w:pPr>
              <w:jc w:val="left"/>
              <w:rPr>
                <w:rFonts w:hint="eastAsia" w:ascii="仿宋_GB2312" w:hAnsi="仿宋" w:eastAsia="仿宋_GB2312" w:cs="宋体"/>
                <w:color w:val="auto"/>
                <w:kern w:val="0"/>
                <w:sz w:val="24"/>
                <w:szCs w:val="24"/>
                <w:lang w:val="en-US" w:eastAsia="uk-UA" w:bidi="ar-SA"/>
              </w:rPr>
            </w:pPr>
            <w:r>
              <w:rPr>
                <w:rFonts w:hint="eastAsia" w:ascii="仿宋_GB2312" w:hAnsi="仿宋" w:eastAsia="仿宋_GB2312" w:cs="宋体"/>
                <w:color w:val="auto"/>
                <w:kern w:val="0"/>
                <w:sz w:val="24"/>
                <w:szCs w:val="24"/>
              </w:rPr>
              <w:t xml:space="preserve">  4、其他固定资产</w:t>
            </w:r>
          </w:p>
        </w:tc>
        <w:tc>
          <w:tcPr>
            <w:tcW w:w="0" w:type="auto"/>
            <w:shd w:val="clear" w:color="auto" w:fill="auto"/>
            <w:vAlign w:val="center"/>
          </w:tcPr>
          <w:p>
            <w:pPr>
              <w:jc w:val="center"/>
              <w:rPr>
                <w:rFonts w:ascii="Times New Roman" w:hAnsi="Times New Roman" w:eastAsia="Times New Roman"/>
                <w:sz w:val="24"/>
                <w:szCs w:val="24"/>
                <w:lang w:val="en-US" w:eastAsia="uk-UA" w:bidi="ar-SA"/>
              </w:rPr>
            </w:pPr>
          </w:p>
        </w:tc>
        <w:tc>
          <w:tcPr>
            <w:tcW w:w="0" w:type="auto"/>
            <w:shd w:val="clear" w:color="auto" w:fill="auto"/>
            <w:vAlign w:val="center"/>
          </w:tcPr>
          <w:p>
            <w:pPr>
              <w:jc w:val="center"/>
              <w:rPr>
                <w:rFonts w:hint="default" w:ascii="仿宋_GB2312" w:hAnsi="仿宋" w:eastAsia="仿宋_GB2312" w:cs="宋体"/>
                <w:color w:val="auto"/>
                <w:kern w:val="0"/>
                <w:sz w:val="24"/>
                <w:szCs w:val="24"/>
                <w:lang w:val="en-US" w:eastAsia="zh-CN" w:bidi="ar-SA"/>
              </w:rPr>
            </w:pPr>
            <w:r>
              <w:rPr>
                <w:rFonts w:hint="eastAsia" w:eastAsia="方正仿宋_GBK"/>
                <w:color w:val="000000"/>
                <w:sz w:val="24"/>
                <w:szCs w:val="22"/>
                <w:lang w:val="en-US" w:eastAsia="zh-CN"/>
              </w:rPr>
              <w:t>1.96</w:t>
            </w:r>
          </w:p>
        </w:tc>
      </w:tr>
    </w:tbl>
    <w:p>
      <w:pPr>
        <w:spacing w:before="10" w:after="10" w:line="240" w:lineRule="auto"/>
        <w:ind w:firstLine="640"/>
        <w:jc w:val="left"/>
        <w:outlineLvl w:val="2"/>
      </w:pPr>
      <w:bookmarkStart w:id="18" w:name="_Toc_3_3_0000000019"/>
      <w:r>
        <w:rPr>
          <w:rFonts w:ascii="黑体" w:hAnsi="黑体" w:eastAsia="黑体" w:cs="黑体"/>
          <w:color w:val="000000"/>
          <w:sz w:val="32"/>
        </w:rPr>
        <w:t>十、名词解释</w:t>
      </w:r>
      <w:bookmarkEnd w:id="18"/>
    </w:p>
    <w:p>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财政拨款收入：</w:t>
      </w:r>
      <w:r>
        <w:rPr>
          <w:rFonts w:ascii="Times New Roman" w:hAnsi="Times New Roman" w:eastAsia="方正仿宋_GBK" w:cs="Times New Roman"/>
          <w:b w:val="0"/>
          <w:color w:val="000000"/>
          <w:sz w:val="28"/>
        </w:rPr>
        <w:t>指</w:t>
      </w:r>
      <w:r>
        <w:rPr>
          <w:rFonts w:hint="eastAsia" w:eastAsia="方正仿宋_GBK" w:cs="Times New Roman"/>
          <w:b w:val="0"/>
          <w:color w:val="000000"/>
          <w:sz w:val="28"/>
          <w:lang w:val="en-US" w:eastAsia="zh-CN"/>
        </w:rPr>
        <w:t>县</w:t>
      </w:r>
      <w:r>
        <w:rPr>
          <w:rFonts w:ascii="Times New Roman" w:hAnsi="Times New Roman" w:eastAsia="方正仿宋_GBK" w:cs="Times New Roman"/>
          <w:b w:val="0"/>
          <w:color w:val="000000"/>
          <w:sz w:val="28"/>
        </w:rPr>
        <w:t>级财政当年拨付的资金，包括一般公共预算拨款、政府性基金预算拨款、国有资本经营预算拨款。</w:t>
      </w:r>
    </w:p>
    <w:p>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财政专户管理资金收入：</w:t>
      </w:r>
      <w:r>
        <w:rPr>
          <w:rFonts w:ascii="Times New Roman" w:hAnsi="Times New Roman" w:eastAsia="方正仿宋_GBK" w:cs="Times New Roman"/>
          <w:b w:val="0"/>
          <w:color w:val="000000"/>
          <w:sz w:val="28"/>
        </w:rPr>
        <w:t>缴入财政专户、实行专项管理的教育收费收入。</w:t>
      </w:r>
    </w:p>
    <w:p>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单位资金收入：</w:t>
      </w:r>
      <w:r>
        <w:rPr>
          <w:rFonts w:ascii="Times New Roman" w:hAnsi="Times New Roman" w:eastAsia="方正仿宋_GBK" w:cs="Times New Roman"/>
          <w:b w:val="0"/>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事业单位经营收入：</w:t>
      </w:r>
      <w:r>
        <w:rPr>
          <w:rFonts w:ascii="Times New Roman" w:hAnsi="Times New Roman" w:eastAsia="方正仿宋_GBK" w:cs="Times New Roman"/>
          <w:b w:val="0"/>
          <w:color w:val="000000"/>
          <w:sz w:val="28"/>
        </w:rPr>
        <w:t>指事业单位在专业业务活动及其辅助活动之外开展非独立核算经营活动取得的收入。</w:t>
      </w:r>
    </w:p>
    <w:p>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指以前年度安排、结转到本年仍按原规定用途继续使用的资金。</w:t>
      </w:r>
    </w:p>
    <w:p>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部门预算支出：</w:t>
      </w:r>
      <w:r>
        <w:rPr>
          <w:rFonts w:ascii="Times New Roman" w:hAnsi="Times New Roman" w:eastAsia="方正仿宋_GBK" w:cs="Times New Roman"/>
          <w:b w:val="0"/>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财政预算管理的“三公”经费，是指预算部门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机关运行经费：</w:t>
      </w:r>
      <w:r>
        <w:rPr>
          <w:rFonts w:ascii="Times New Roman" w:hAnsi="Times New Roman" w:eastAsia="方正仿宋_GBK" w:cs="Times New Roman"/>
          <w:b w:val="0"/>
          <w:color w:val="000000"/>
          <w:sz w:val="28"/>
        </w:rPr>
        <w:t>是指部门的公用经费，包括办公及印刷费、邮电费、差旅费、会议费、福利费、日常维修费、专用材料及一般设备购置费、办公用房水电费、办公用房取暖费、办公用房物业管理费、公务用车运行维护费以及其他费用。</w:t>
      </w:r>
    </w:p>
    <w:p>
      <w:pPr>
        <w:spacing w:before="10" w:after="10" w:line="240" w:lineRule="auto"/>
        <w:ind w:firstLine="640"/>
        <w:jc w:val="left"/>
        <w:outlineLvl w:val="2"/>
      </w:pPr>
      <w:bookmarkStart w:id="19" w:name="_Toc_3_3_0000000020"/>
      <w:r>
        <w:rPr>
          <w:rFonts w:ascii="黑体" w:hAnsi="黑体" w:eastAsia="黑体" w:cs="黑体"/>
          <w:color w:val="000000"/>
          <w:sz w:val="32"/>
        </w:rPr>
        <w:t>十一、其他需要说明的事项</w:t>
      </w:r>
      <w:bookmarkEnd w:id="19"/>
    </w:p>
    <w:p>
      <w:pPr>
        <w:spacing w:before="0" w:after="0" w:line="500" w:lineRule="exact"/>
        <w:ind w:firstLine="560"/>
        <w:jc w:val="left"/>
        <w:outlineLvl w:val="9"/>
      </w:pPr>
      <w:r>
        <w:rPr>
          <w:rFonts w:ascii="Times New Roman" w:hAnsi="Times New Roman" w:eastAsia="方正仿宋_GBK" w:cs="Times New Roman"/>
          <w:b w:val="0"/>
          <w:color w:val="000000"/>
          <w:sz w:val="28"/>
        </w:rPr>
        <w:t>我部门无其他需要说明的事项。</w:t>
      </w:r>
    </w:p>
    <w:sectPr>
      <w:pgSz w:w="16840" w:h="11900" w:orient="landscape"/>
      <w:pgMar w:top="1361" w:right="1020" w:bottom="1134" w:left="10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auto"/>
    <w:pitch w:val="default"/>
    <w:sig w:usb0="E0002AFF" w:usb1="C0007843" w:usb2="00000009" w:usb3="00000000" w:csb0="400001FF" w:csb1="FFFF0000"/>
  </w:font>
  <w:font w:name="方正仿宋_GBK">
    <w:panose1 w:val="02000000000000000000"/>
    <w:charset w:val="86"/>
    <w:family w:val="auto"/>
    <w:pitch w:val="default"/>
    <w:sig w:usb0="A00002BF" w:usb1="38CF7CFA" w:usb2="00082016" w:usb3="00000000" w:csb0="00040001" w:csb1="00000000"/>
  </w:font>
  <w:font w:name="方正小标宋_GBK">
    <w:panose1 w:val="02000000000000000000"/>
    <w:charset w:val="86"/>
    <w:family w:val="auto"/>
    <w:pitch w:val="default"/>
    <w:sig w:usb0="A00002BF" w:usb1="38CF7CFA" w:usb2="00082016" w:usb3="00000000" w:csb0="00040001" w:csb1="00000000"/>
  </w:font>
  <w:font w:name="方正书宋_GBK">
    <w:panose1 w:val="02000000000000000000"/>
    <w:charset w:val="86"/>
    <w:family w:val="auto"/>
    <w:pitch w:val="default"/>
    <w:sig w:usb0="A00002BF" w:usb1="38CF7CFA" w:usb2="00082016" w:usb3="00000000" w:csb0="00040001" w:csb1="00000000"/>
  </w:font>
  <w:font w:name="方正楷体_GBK">
    <w:panose1 w:val="02000000000000000000"/>
    <w:charset w:val="86"/>
    <w:family w:val="auto"/>
    <w:pitch w:val="default"/>
    <w:sig w:usb0="A00002BF" w:usb1="38CF7CFA" w:usb2="00082016"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r>
      <w:fldChar w:fldCharType="begin"/>
    </w:r>
    <w:r>
      <w:instrText xml:space="preserve">PAGE "page number"</w:instrText>
    </w:r>
    <w:r>
      <w:fldChar w:fldCharType="separate"/>
    </w:r>
    <w:r>
      <w:t>17</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left"/>
    </w:pPr>
    <w:r>
      <w:fldChar w:fldCharType="begin"/>
    </w:r>
    <w:r>
      <w:instrText xml:space="preserve">PAGE "page number"</w:instrText>
    </w:r>
    <w:r>
      <w:fldChar w:fldCharType="separate"/>
    </w:r>
    <w:r>
      <w:t>18</w:t>
    </w:r>
    <w: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6601470"/>
    <w:multiLevelType w:val="singleLevel"/>
    <w:tmpl w:val="26601470"/>
    <w:lvl w:ilvl="0" w:tentative="0">
      <w:start w:val="7"/>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90"/>
  <w:bordersDoNotSurroundHeader w:val="0"/>
  <w:bordersDoNotSurroundFooter w:val="0"/>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2"/>
  </w:compat>
  <w:rsids>
    <w:rsidRoot w:val="00000000"/>
    <w:rsid w:val="06BE5B06"/>
    <w:rsid w:val="0D780DEF"/>
    <w:rsid w:val="3BF81AEF"/>
    <w:rsid w:val="427C7633"/>
    <w:rsid w:val="4B62350D"/>
    <w:rsid w:val="76D63334"/>
    <w:rsid w:val="7DD06DC0"/>
  </w:rsids>
  <m:mathPr>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heme="minorBidi"/>
      <w:sz w:val="24"/>
      <w:szCs w:val="24"/>
      <w:lang w:val="en-US" w:eastAsia="uk-UA"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toc 3"/>
    <w:basedOn w:val="1"/>
    <w:next w:val="1"/>
    <w:qFormat/>
    <w:uiPriority w:val="0"/>
    <w:pPr>
      <w:ind w:left="480"/>
    </w:pPr>
  </w:style>
  <w:style w:type="paragraph" w:styleId="3">
    <w:name w:val="toc 1"/>
    <w:basedOn w:val="1"/>
    <w:next w:val="1"/>
    <w:qFormat/>
    <w:uiPriority w:val="0"/>
    <w:pPr>
      <w:spacing w:before="120" w:line="240" w:lineRule="auto"/>
      <w:ind w:firstLine="560"/>
    </w:pPr>
    <w:rPr>
      <w:rFonts w:ascii="Times New Roman" w:hAnsi="Times New Roman" w:eastAsia="方正仿宋_GBK" w:cs="Times New Roman"/>
      <w:color w:val="000000"/>
      <w:sz w:val="28"/>
      <w:lang w:val="en-US"/>
    </w:rPr>
  </w:style>
  <w:style w:type="paragraph" w:styleId="4">
    <w:name w:val="toc 2"/>
    <w:basedOn w:val="1"/>
    <w:next w:val="1"/>
    <w:qFormat/>
    <w:uiPriority w:val="0"/>
    <w:pPr>
      <w:ind w:left="240"/>
    </w:pPr>
  </w:style>
  <w:style w:type="table" w:styleId="6">
    <w:name w:val="Table Grid"/>
    <w:basedOn w:val="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8">
    <w:name w:val="单元格样式22"/>
    <w:basedOn w:val="1"/>
    <w:qFormat/>
    <w:uiPriority w:val="0"/>
    <w:pPr>
      <w:spacing w:before="0" w:after="0"/>
      <w:ind w:firstLine="0"/>
      <w:jc w:val="right"/>
      <w:outlineLvl w:val="9"/>
    </w:pPr>
    <w:rPr>
      <w:rFonts w:ascii="方正小标宋_GBK" w:hAnsi="方正小标宋_GBK" w:eastAsia="方正小标宋_GBK" w:cs="方正小标宋_GBK"/>
      <w:sz w:val="24"/>
    </w:rPr>
  </w:style>
  <w:style w:type="paragraph" w:customStyle="1" w:styleId="9">
    <w:name w:val="单元格样式21"/>
    <w:basedOn w:val="1"/>
    <w:qFormat/>
    <w:uiPriority w:val="0"/>
    <w:pPr>
      <w:spacing w:before="0" w:after="0"/>
      <w:ind w:firstLine="0"/>
      <w:jc w:val="center"/>
      <w:outlineLvl w:val="9"/>
    </w:pPr>
    <w:rPr>
      <w:rFonts w:ascii="方正小标宋_GBK" w:hAnsi="方正小标宋_GBK" w:eastAsia="方正小标宋_GBK" w:cs="方正小标宋_GBK"/>
      <w:sz w:val="24"/>
    </w:rPr>
  </w:style>
  <w:style w:type="paragraph" w:customStyle="1" w:styleId="10">
    <w:name w:val="单元格样式20"/>
    <w:basedOn w:val="1"/>
    <w:qFormat/>
    <w:uiPriority w:val="0"/>
    <w:pPr>
      <w:spacing w:before="0" w:after="0"/>
      <w:ind w:firstLine="0"/>
      <w:jc w:val="left"/>
      <w:outlineLvl w:val="9"/>
    </w:pPr>
    <w:rPr>
      <w:rFonts w:ascii="方正小标宋_GBK" w:hAnsi="方正小标宋_GBK" w:eastAsia="方正小标宋_GBK" w:cs="方正小标宋_GBK"/>
      <w:sz w:val="24"/>
    </w:rPr>
  </w:style>
  <w:style w:type="paragraph" w:customStyle="1" w:styleId="11">
    <w:name w:val="单元格样式1"/>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2">
    <w:name w:val="单元格样式4"/>
    <w:basedOn w:val="1"/>
    <w:qFormat/>
    <w:uiPriority w:val="0"/>
    <w:pPr>
      <w:spacing w:before="0" w:after="0"/>
      <w:ind w:firstLine="0"/>
      <w:jc w:val="right"/>
      <w:outlineLvl w:val="9"/>
    </w:pPr>
    <w:rPr>
      <w:rFonts w:ascii="方正书宋_GBK" w:hAnsi="方正书宋_GBK" w:eastAsia="方正书宋_GBK" w:cs="方正书宋_GBK"/>
      <w:sz w:val="21"/>
    </w:rPr>
  </w:style>
  <w:style w:type="paragraph" w:customStyle="1" w:styleId="13">
    <w:name w:val="单元格样式2"/>
    <w:basedOn w:val="1"/>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4">
    <w:name w:val="单元格样式3"/>
    <w:basedOn w:val="1"/>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15">
    <w:name w:val="单元格样式6"/>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6">
    <w:name w:val="单元格样式7"/>
    <w:basedOn w:val="1"/>
    <w:qFormat/>
    <w:uiPriority w:val="0"/>
    <w:pPr>
      <w:spacing w:before="0" w:after="0"/>
      <w:ind w:firstLine="0"/>
      <w:jc w:val="right"/>
      <w:outlineLvl w:val="9"/>
    </w:pPr>
    <w:rPr>
      <w:rFonts w:ascii="方正书宋_GBK" w:hAnsi="方正书宋_GBK" w:eastAsia="方正书宋_GBK" w:cs="方正书宋_GBK"/>
      <w:b/>
      <w:sz w:val="21"/>
    </w:rPr>
  </w:style>
  <w:style w:type="paragraph" w:customStyle="1" w:styleId="17">
    <w:name w:val="单元格样式5"/>
    <w:basedOn w:val="1"/>
    <w:qFormat/>
    <w:uiPriority w:val="0"/>
    <w:pPr>
      <w:spacing w:before="0" w:after="0"/>
      <w:ind w:firstLine="0"/>
      <w:jc w:val="left"/>
      <w:outlineLvl w:val="9"/>
    </w:pPr>
    <w:rPr>
      <w:rFonts w:ascii="方正书宋_GBK" w:hAnsi="方正书宋_GBK" w:eastAsia="方正书宋_GBK" w:cs="方正书宋_GBK"/>
      <w:b/>
      <w:sz w:val="21"/>
    </w:rPr>
  </w:style>
  <w:style w:type="paragraph" w:customStyle="1" w:styleId="18">
    <w:name w:val="插入文本样式-插入预算公开部门职责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9">
    <w:name w:val="插入文本样式-插入预算公开部门预算安排的总体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0">
    <w:name w:val="插入文本样式-插入预算公开部门机关运行经费安排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1">
    <w:name w:val="插入文本样式-插入预算公开部门财政拨款三公经费预算情况及增减变化原因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2">
    <w:name w:val="插入文本样式-插入总体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3">
    <w:name w:val="插入文本样式-插入职责分类绩效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4">
    <w:name w:val="插入文本样式-插入实现年度发展规划目标的保障措施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5">
    <w:name w:val="单元格样式23"/>
    <w:qFormat/>
    <w:uiPriority w:val="0"/>
    <w:pPr>
      <w:spacing w:before="0" w:after="0"/>
      <w:ind w:firstLine="0"/>
      <w:jc w:val="right"/>
      <w:outlineLvl w:val="9"/>
    </w:pPr>
    <w:rPr>
      <w:rFonts w:ascii="方正书宋_GBK" w:hAnsi="方正书宋_GBK" w:eastAsia="方正书宋_GBK" w:cs="方正书宋_GBK"/>
      <w:sz w:val="24"/>
    </w:rPr>
  </w:style>
  <w:style w:type="paragraph" w:customStyle="1" w:styleId="26">
    <w:name w:val="插入文本样式-插入部门职责文件"/>
    <w:basedOn w:val="1"/>
    <w:qFormat/>
    <w:uiPriority w:val="0"/>
    <w:pPr>
      <w:spacing w:line="500" w:lineRule="exact"/>
      <w:ind w:firstLine="560"/>
    </w:pPr>
    <w:rPr>
      <w:rFonts w:eastAsia="方正仿宋_GBK"/>
      <w:sz w:val="2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26</Pages>
  <Words>330</Words>
  <Characters>346</Characters>
  <TotalTime>2</TotalTime>
  <ScaleCrop>false</ScaleCrop>
  <LinksUpToDate>false</LinksUpToDate>
  <CharactersWithSpaces>367</CharactersWithSpaces>
  <Application>WPS Office_11.8.2.11978_F1E327BC-269C-435d-A152-05C5408002CA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2025-01-24T14:35:00Z</dcterms:created>
  <dc:creator>dell</dc:creator>
  <cp:lastModifiedBy>Administrator</cp:lastModifiedBy>
  <dcterms:modified xsi:type="dcterms:W3CDTF">2025-04-30T11:14:17Z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eyJoZGlkIjoiODBkMTRhMzdiM2I3ZGIxZDQwZWI0ODk2MmI3YjUwYTAifQ==</vt:lpwstr>
  </property>
  <property fmtid="{D5CDD505-2E9C-101B-9397-08002B2CF9AE}" pid="3" name="KSOProductBuildVer">
    <vt:lpwstr>2052-11.8.2.11978</vt:lpwstr>
  </property>
  <property fmtid="{D5CDD505-2E9C-101B-9397-08002B2CF9AE}" pid="4" name="ICV">
    <vt:lpwstr>A25F796BAB4F41B091F0DB422E9C3B38_12</vt:lpwstr>
  </property>
</Properties>
</file>