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10.xml" ContentType="application/xml"/>
  <Override PartName="/customXml/item2.xml" ContentType="application/xml"/>
  <Override PartName="/customXml/item3.xml" ContentType="application/xml"/>
  <Override PartName="/customXml/item4.xml" ContentType="application/xml"/>
  <Override PartName="/customXml/item5.xml" ContentType="application/xml"/>
  <Override PartName="/customXml/item6.xml" ContentType="application/xml"/>
  <Override PartName="/customXml/item7.xml" ContentType="application/xml"/>
  <Override PartName="/customXml/item8.xml" ContentType="application/xml"/>
  <Override PartName="/customXml/item9.xml" ContentType="application/xml"/>
  <Override PartName="/customXml/itemProps1.xml" ContentType="application/vnd.openxmlformats-officedocument.customXmlProperties+xml"/>
  <Override PartName="/customXml/itemProps10.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72"/>
        </w:rPr>
        <w:t xml:space="preserve">顺平县行政审批局</w:t>
      </w:r>
    </w:p>
    <w:p>
      <w:pPr>
        <w:spacing w:before="0" w:after="0" w:line="240"/>
        <w:ind w:firstLine="0"/>
        <w:jc w:val="center"/>
        <w:outlineLvl w:val="9"/>
      </w:pPr>
      <w:r>
        <w:rPr>
          <w:rFonts w:ascii="方正小标宋_GBK" w:eastAsia="方正小标宋_GBK" w:hAnsi="方正小标宋_GBK" w:cs="方正小标宋_GBK"/>
          <w:color w:val="000000"/>
          <w:sz w:val="72"/>
        </w:rPr>
        <w:t xml:space="preserve">2022年部门预算绩效文本</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（草案）</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宋体" w:eastAsia="宋体" w:hAnsi="宋体" w:cs="宋体"/>
          <w:color w:val="000000"/>
          <w:sz w:val="21"/>
        </w:rPr>
        <w:t xml:space="preserve"> </w:t>
      </w:r>
    </w:p>
    <w:p>
      <w:pPr>
        <w:spacing w:before="0" w:after="0" w:line="240"/>
        <w:ind w:firstLine="0"/>
        <w:jc w:val="center"/>
        <w:outlineLvl w:val="9"/>
      </w:pPr>
      <w:r>
        <w:rPr>
          <w:rFonts w:ascii="方正楷体_GBK" w:eastAsia="方正楷体_GBK" w:hAnsi="方正楷体_GBK" w:cs="方正楷体_GBK"/>
          <w:b/>
          <w:color w:val="000000"/>
          <w:sz w:val="32"/>
        </w:rPr>
        <w:t xml:space="preserve">顺平县行政审批局编制</w:t>
      </w:r>
    </w:p>
    <w:p>
      <w:pPr>
        <w:spacing w:before="0" w:after="0" w:line="240"/>
        <w:ind w:firstLine="0"/>
        <w:jc w:val="center"/>
        <w:outlineLvl w:val="9"/>
        <w:sectPr>
          <w:type w:val="nextPage"/>
          <w:pgSz w:w="11900" w:h="16840" w:orient="portrait"/>
          <w:pgMar w:top="1984" w:right="1304" w:bottom="1134" w:left="1304" w:header="720" w:footer="720" w:gutter="0"/>
          <w:titlePg/>
        </w:sectPr>
      </w:pPr>
      <w:r>
        <w:rPr>
          <w:rFonts w:ascii="方正楷体_GBK" w:eastAsia="方正楷体_GBK" w:hAnsi="方正楷体_GBK" w:cs="方正楷体_GBK"/>
          <w:b/>
          <w:color w:val="000000"/>
          <w:sz w:val="32"/>
        </w:rPr>
        <w:t xml:space="preserve">顺平县财政局审核</w:t>
      </w:r>
    </w:p>
    <w:p>
      <w:pPr>
        <w:spacing w:before="0" w:after="0" w:line="240"/>
        <w:ind w:firstLine="0"/>
        <w:jc w:val="center"/>
        <w:outlineLvl w:val="9"/>
        <w:sectPr>
          <w:type w:val="nextPage"/>
          <w:pgSz w:w="11900" w:h="16840" w:orient="portrait"/>
          <w:pgMar w:top="1984" w:right="1304" w:bottom="1134" w:left="1304" w:header="720" w:footer="720" w:gutter="0"/>
          <w:titlePg/>
        </w:sectPr>
      </w:pPr>
    </w:p>
    <w:p>
      <w:pPr>
        <w:spacing w:before="0" w:after="0" w:line="240"/>
        <w:ind w:firstLine="0"/>
        <w:jc w:val="center"/>
        <w:outlineLvl w:val="9"/>
      </w:pPr>
      <w:r>
        <w:rPr>
          <w:rFonts w:ascii="方正小标宋_GBK" w:eastAsia="方正小标宋_GBK" w:hAnsi="方正小标宋_GBK" w:cs="方正小标宋_GBK"/>
          <w:color w:val="000000"/>
          <w:sz w:val="36"/>
        </w:rPr>
        <w:t xml:space="preserve"> </w:t>
      </w:r>
    </w:p>
    <w:p>
      <w:pPr>
        <w:spacing w:before="0" w:after="0" w:line="240"/>
        <w:ind w:firstLine="0"/>
        <w:jc w:val="center"/>
        <w:outlineLvl w:val="0"/>
      </w:pPr>
      <w:r>
        <w:rPr>
          <w:rFonts w:ascii="方正小标宋_GBK" w:eastAsia="方正小标宋_GBK" w:hAnsi="方正小标宋_GBK" w:cs="方正小标宋_GBK"/>
          <w:color w:val="000000"/>
          <w:sz w:val="36"/>
        </w:rPr>
        <w:t xml:space="preserve">目    录</w:t>
      </w:r>
    </w:p>
    <w:p>
      <w:pPr>
        <w:spacing w:before="0" w:after="0" w:line="240"/>
        <w:ind w:firstLine="0"/>
        <w:jc w:val="center"/>
        <w:outlineLvl w:val="9"/>
      </w:pPr>
      <w:r>
        <w:rPr>
          <w:rFonts w:ascii="方正小标宋_GBK" w:eastAsia="方正小标宋_GBK" w:hAnsi="方正小标宋_GBK" w:cs="方正小标宋_GBK"/>
          <w:color w:val="000000"/>
          <w:sz w:val="30"/>
        </w:rPr>
        <w:t xml:space="preserve"> </w:t>
      </w:r>
    </w:p>
    <w:p>
      <w:pPr>
        <w:spacing w:before="0" w:after="0" w:line="240"/>
        <w:ind w:firstLine="0"/>
        <w:jc w:val="center"/>
        <w:outlineLvl w:val="9"/>
      </w:pPr>
      <w:r>
        <w:rPr>
          <w:rFonts w:ascii="方正小标宋_GBK" w:eastAsia="方正小标宋_GBK" w:hAnsi="方正小标宋_GBK" w:cs="方正小标宋_GBK"/>
          <w:color w:val="000000"/>
          <w:sz w:val="30"/>
        </w:rPr>
        <w:t xml:space="preserve">第一部分 部门整体绩效目标</w:t>
      </w:r>
    </w:p>
    <w:p>
      <w:pPr>
        <w:pStyle w:val="TOC1"/>
        <w:tabs>
          <w:tab w:val="right" w:leader="dot" w:pos="9282"/>
        </w:tabs>
      </w:pPr>
      <w:r>
        <w:fldChar w:fldCharType="begin"/>
      </w:r>
      <w:r>
        <w:instrText xml:space="preserve">TOC \o "2-2" \h \z \u</w:instrText>
      </w:r>
      <w:r>
        <w:fldChar w:fldCharType="separate"/>
      </w:r>
      <w:hyperlink w:anchor="_Toc_2_2_0000000001" w:history="1">
        <w:r>
          <w:rPr/>
          <w:t xml:space="preserve">一、总体绩效目标</w:t>
        </w:r>
        <w:r>
          <w:tab/>
        </w:r>
        <w:r>
          <w:fldChar w:fldCharType="begin"/>
        </w:r>
        <w:r>
          <w:instrText xml:space="preserve">PAGEREF _Toc_2_2_0000000001 \h</w:instrText>
        </w:r>
        <w:r>
          <w:fldChar w:fldCharType="separate"/>
        </w:r>
        <w:r>
          <w:t xml:space="preserve">1</w:t>
        </w:r>
        <w:r>
          <w:fldChar w:fldCharType="end"/>
        </w:r>
      </w:hyperlink>
    </w:p>
    <w:p>
      <w:pPr>
        <w:pStyle w:val="TOC1"/>
        <w:tabs>
          <w:tab w:val="right" w:leader="dot" w:pos="9282"/>
        </w:tabs>
      </w:pPr>
      <w:hyperlink w:anchor="_Toc_2_2_0000000002" w:history="1">
        <w:r>
          <w:rPr/>
          <w:t xml:space="preserve">二、分项绩效目标</w:t>
        </w:r>
        <w:r>
          <w:tab/>
        </w:r>
        <w:r>
          <w:fldChar w:fldCharType="begin"/>
        </w:r>
        <w:r>
          <w:instrText xml:space="preserve">PAGEREF _Toc_2_2_0000000002 \h</w:instrText>
        </w:r>
        <w:r>
          <w:fldChar w:fldCharType="separate"/>
        </w:r>
        <w:r>
          <w:t xml:space="preserve">3</w:t>
        </w:r>
        <w:r>
          <w:fldChar w:fldCharType="end"/>
        </w:r>
      </w:hyperlink>
    </w:p>
    <w:p>
      <w:pPr>
        <w:pStyle w:val="TOC1"/>
        <w:tabs>
          <w:tab w:val="right" w:leader="dot" w:pos="9282"/>
        </w:tabs>
      </w:pPr>
      <w:hyperlink w:anchor="_Toc_2_2_0000000003" w:history="1">
        <w:r>
          <w:rPr/>
          <w:t xml:space="preserve">三、工作保障措施</w:t>
        </w:r>
        <w:r>
          <w:tab/>
        </w:r>
        <w:r>
          <w:fldChar w:fldCharType="begin"/>
        </w:r>
        <w:r>
          <w:instrText xml:space="preserve">PAGEREF _Toc_2_2_0000000003 \h</w:instrText>
        </w:r>
        <w:r>
          <w:fldChar w:fldCharType="separate"/>
        </w:r>
        <w:r>
          <w:t xml:space="preserve">5</w:t>
        </w:r>
        <w:r>
          <w:fldChar w:fldCharType="end"/>
        </w:r>
      </w:hyperlink>
    </w:p>
    <w:p>
      <w:pPr/>
      <w:r>
        <w:fldChar w:fldCharType="end"/>
      </w:r>
    </w:p>
    <w:p>
      <w:pPr>
        <w:spacing w:before="0" w:after="0" w:line="240"/>
        <w:ind w:firstLine="0"/>
        <w:jc w:val="center"/>
        <w:outlineLvl w:val="9"/>
      </w:pPr>
      <w:r>
        <w:rPr>
          <w:rFonts w:ascii="方正小标宋_GBK" w:eastAsia="方正小标宋_GBK" w:hAnsi="方正小标宋_GBK" w:cs="方正小标宋_GBK"/>
          <w:color w:val="000000"/>
          <w:sz w:val="30"/>
        </w:rPr>
        <w:t xml:space="preserve">第二部分 预算项目绩效目标</w:t>
      </w:r>
    </w:p>
    <w:p>
      <w:pPr>
        <w:pStyle w:val="TOC1"/>
        <w:tabs>
          <w:tab w:val="right" w:leader="dot" w:pos="9282"/>
        </w:tabs>
      </w:pPr>
      <w:r>
        <w:fldChar w:fldCharType="begin"/>
      </w:r>
      <w:r>
        <w:instrText xml:space="preserve">TOC \o "4-4" \h \z \u</w:instrText>
      </w:r>
      <w:r>
        <w:fldChar w:fldCharType="separate"/>
      </w:r>
      <w:hyperlink w:anchor="_Toc_4_4_0000000004" w:history="1">
        <w:r>
          <w:rPr/>
          <w:t xml:space="preserve">1.公共资源交易中心经费绩效目标表</w:t>
        </w:r>
        <w:r>
          <w:tab/>
        </w:r>
        <w:r>
          <w:fldChar w:fldCharType="begin"/>
        </w:r>
        <w:r>
          <w:instrText xml:space="preserve">PAGEREF _Toc_4_4_0000000004 \h</w:instrText>
        </w:r>
        <w:r>
          <w:fldChar w:fldCharType="separate"/>
        </w:r>
        <w:r>
          <w:t xml:space="preserve">7</w:t>
        </w:r>
        <w:r>
          <w:fldChar w:fldCharType="end"/>
        </w:r>
      </w:hyperlink>
    </w:p>
    <w:p>
      <w:pPr>
        <w:pStyle w:val="TOC1"/>
        <w:tabs>
          <w:tab w:val="right" w:leader="dot" w:pos="9282"/>
        </w:tabs>
      </w:pPr>
      <w:hyperlink w:anchor="_Toc_4_4_0000000005" w:history="1">
        <w:r>
          <w:rPr/>
          <w:t xml:space="preserve">2.业务经费绩效目标表</w:t>
        </w:r>
        <w:r>
          <w:tab/>
        </w:r>
        <w:r>
          <w:fldChar w:fldCharType="begin"/>
        </w:r>
        <w:r>
          <w:instrText xml:space="preserve">PAGEREF _Toc_4_4_0000000005 \h</w:instrText>
        </w:r>
        <w:r>
          <w:fldChar w:fldCharType="separate"/>
        </w:r>
        <w:r>
          <w:t xml:space="preserve">8</w:t>
        </w:r>
        <w:r>
          <w:fldChar w:fldCharType="end"/>
        </w:r>
      </w:hyperlink>
    </w:p>
    <w:p>
      <w:pPr>
        <w:pStyle w:val="TOC1"/>
        <w:tabs>
          <w:tab w:val="right" w:leader="dot" w:pos="9282"/>
        </w:tabs>
      </w:pPr>
      <w:hyperlink w:anchor="_Toc_4_4_0000000006" w:history="1">
        <w:r>
          <w:rPr/>
          <w:t xml:space="preserve">3.政府购买印章刻制服务费绩效目标表</w:t>
        </w:r>
        <w:r>
          <w:tab/>
        </w:r>
        <w:r>
          <w:fldChar w:fldCharType="begin"/>
        </w:r>
        <w:r>
          <w:instrText xml:space="preserve">PAGEREF _Toc_4_4_0000000006 \h</w:instrText>
        </w:r>
        <w:r>
          <w:fldChar w:fldCharType="separate"/>
        </w:r>
        <w:r>
          <w:t xml:space="preserve">9</w:t>
        </w:r>
        <w:r>
          <w:fldChar w:fldCharType="end"/>
        </w:r>
      </w:hyperlink>
    </w:p>
    <w:p>
      <w:pPr/>
      <w:r>
        <w:fldChar w:fldCharType="end"/>
      </w:r>
    </w:p>
    <w:p>
      <w:pPr>
        <w:sectPr>
          <w:footerReference w:type="even" r:id="rId11"/>
          <w:footerReference w:type="default" r:id="rId12"/>
          <w:type w:val="nextPage"/>
          <w:pgSz w:w="11900" w:h="16840" w:orient="portrait"/>
          <w:pgMar w:top="1984" w:right="1304" w:bottom="1134" w:left="1304" w:header="720" w:footer="720" w:gutter="0"/>
          <w:pgNumType w:start="1"/>
        </w:sectPr>
      </w:pPr>
      <w:r>
        <w:br w:type="page"/>
      </w:r>
      <w:r>
        <w:rPr/>
        <w:br/>
      </w:r>
    </w:p>
    <w:p>
      <w:pPr>
        <w:spacing w:before="0" w:after="0" w:line="240"/>
        <w:ind w:firstLine="0"/>
        <w:jc w:val="center"/>
        <w:outlineLvl w:val="9"/>
      </w:pPr>
      <w:r>
        <w:rPr>
          <w:rFonts w:ascii="方正小标宋_GBK" w:eastAsia="方正小标宋_GBK" w:hAnsi="方正小标宋_GBK" w:cs="方正小标宋_GBK"/>
          <w:color w:val="000000"/>
          <w:sz w:val="44"/>
        </w:rPr>
        <w:t xml:space="preserve"> </w:t>
      </w:r>
    </w:p>
    <w:p>
      <w:pPr>
        <w:spacing w:before="0" w:after="0" w:line="240"/>
        <w:ind w:firstLine="0"/>
        <w:jc w:val="center"/>
        <w:outlineLvl w:val="9"/>
      </w:pPr>
      <w:r>
        <w:rPr>
          <w:rFonts w:ascii="方正小标宋_GBK" w:eastAsia="方正小标宋_GBK" w:hAnsi="方正小标宋_GBK" w:cs="方正小标宋_GBK"/>
          <w:color w:val="000000"/>
          <w:sz w:val="44"/>
        </w:rPr>
        <w:t xml:space="preserve">第一部分</w:t>
      </w:r>
    </w:p>
    <w:p>
      <w:pPr>
        <w:spacing w:before="0" w:after="0" w:line="240"/>
        <w:ind w:firstLine="0"/>
        <w:jc w:val="center"/>
        <w:outlineLvl w:val="0"/>
      </w:pPr>
      <w:r>
        <w:rPr>
          <w:rFonts w:ascii="方正小标宋_GBK" w:eastAsia="方正小标宋_GBK" w:hAnsi="方正小标宋_GBK" w:cs="方正小标宋_GBK"/>
          <w:color w:val="000000"/>
          <w:sz w:val="44"/>
        </w:rPr>
        <w:t xml:space="preserve">部门整体绩效目标</w:t>
      </w:r>
    </w:p>
    <w:p>
      <w:pPr>
        <w:spacing w:before="0" w:after="0" w:line="240"/>
        <w:ind w:firstLine="0"/>
        <w:jc w:val="center"/>
        <w:outlineLvl w:val="9"/>
      </w:pPr>
      <w:r>
        <w:rPr>
          <w:rFonts w:ascii="方正小标宋_GBK" w:eastAsia="方正小标宋_GBK" w:hAnsi="方正小标宋_GBK" w:cs="方正小标宋_GBK"/>
          <w:color w:val="000000"/>
          <w:sz w:val="44"/>
        </w:rPr>
        <w:t xml:space="preserve"> </w:t>
      </w:r>
    </w:p>
    <w:p>
      <w:pPr>
        <w:spacing w:before="10" w:after="10"/>
        <w:ind w:firstLine="560"/>
        <w:jc w:val="left"/>
        <w:outlineLvl w:val="1"/>
      </w:pPr>
      <w:bookmarkStart w:id="0" w:name="_Toc_2_2_0000000001"/>
      <w:r>
        <w:rPr>
          <w:rFonts w:ascii="方正黑体_GBK" w:eastAsia="方正黑体_GBK" w:hAnsi="方正黑体_GBK" w:cs="方正黑体_GBK"/>
          <w:color w:val="000000"/>
          <w:sz w:val="28"/>
        </w:rPr>
        <w:t xml:space="preserve">一、总体绩效目标</w:t>
      </w:r>
      <w:bookmarkEnd w:id="0"/>
    </w:p>
    <w:p>
      <w:pPr>
        <w:pStyle w:val="插入文本样式-插入总体目标文件"/>
      </w:pPr>
      <w:r>
        <w:t xml:space="preserve">（一）贯彻执行国家、省、市、县“放管服”改革、行政审批制度改革、政务服务管理、公共资源交易管理、社会信用体系建设有关方针政策和法律法规。</w:t>
      </w:r>
    </w:p>
    <w:p>
      <w:pPr>
        <w:pStyle w:val="插入文本样式-插入总体目标文件"/>
      </w:pPr>
      <w:r>
        <w:t xml:space="preserve">（二）组织协调全县“放管服”改革工作。指导、督促、贯彻落实国家、省、市、县关于“放管服”改革重要领域、关键环节重大政策措施，承担县推进政府职能转变和“放管服”改革协调小组的日常工作。</w:t>
      </w:r>
    </w:p>
    <w:p>
      <w:pPr>
        <w:pStyle w:val="插入文本样式-插入总体目标文件"/>
      </w:pPr>
      <w:r>
        <w:t xml:space="preserve">（三）指导协调全县行政审批制度改革工作。建立健全全县县乡村三级行政审批制度管理体系；推进简政放权，清理和规范各类行政许可等管理事项；协调推进行政审批标准化工作；承担县行政审批制度改革工作领导小组的日常工作。</w:t>
      </w:r>
    </w:p>
    <w:p>
      <w:pPr>
        <w:pStyle w:val="插入文本样式-插入总体目标文件"/>
      </w:pPr>
      <w:r>
        <w:t xml:space="preserve">（四）指导协调全县政务服务管理工作。负责优化政务服务供给，降低制度性交易成本，提升政务服务效能；负责推进审批服务便民化；负责探索建立审批与监管的有效衔接机制；指导协调县有关部门为公民、法人或其他组织提供规范、高效、优质的政务服务；负责组织协调、督促、检查全县政务服务工作；对政务服务职能部门工作效能进行综合考评；对进驻事项的办理情况、效能及办事人员的服务质量等进行监督评价；对行政审批窗口工作人员进行教育、培训、管理和绩效考核。</w:t>
      </w:r>
    </w:p>
    <w:p>
      <w:pPr>
        <w:pStyle w:val="插入文本样式-插入总体目标文件"/>
      </w:pPr>
      <w:r>
        <w:t xml:space="preserve">（五）负责投资项目、企业注册、市场服务、社会事务、经贸商务、交通运管、农林畜水、公共教育、劳动就业、社会保障、医疗卫生、住房保障、文化体育等行政审批事项集中办理及流程再造、环节优化；与群众日常生活密切相关的公共服务事项进驻中心,综合协调和监督管理县级各部门公共服务事项进驻中心，集中管理统一办理；推进重点项目审批服务的综合协调和督办；组织相关部门开展审批服务事项的联合办理和联审会办；研究推进并联审批服务工作；负责政府行政性收费等工作。</w:t>
      </w:r>
    </w:p>
    <w:p>
      <w:pPr>
        <w:pStyle w:val="插入文本样式-插入总体目标文件"/>
      </w:pPr>
      <w:r>
        <w:t xml:space="preserve">（六）协调指导公共资源交易市场工作。负责拟订公共资源交易市场管理制度和规则；公共资源交易目录内的项目进场情况进行监督检查；协助有关部门对交易活动实施监督；受理对县公共资源交易中心的投诉并会同有关部门调查处理。会同有关部门拟定公共资源市场规则和制度并监督执行；负责公共资源交易中心规范性文件的合法性审查报送及备案报送。</w:t>
      </w:r>
    </w:p>
    <w:p>
      <w:pPr>
        <w:pStyle w:val="插入文本样式-插入总体目标文件"/>
      </w:pPr>
      <w:r>
        <w:t xml:space="preserve">（七）指导协调全县政务服务管理工作。负责优化政务服务供给，降低制度性交易成本，提升政务服务效能；负责推进审批服务便民化；负责综合协调和管理县级各部门行政审批事项和公共服务事项的集中统一办理；指导协调县有关部门为公民、法人或其他组织提供规范、高效、优质的政务服务；推进“互联网+政务服务”工作，构建一体化网上政务服务平台。推行政务服务事项网上办理，形成管理机构、实体大厅、网上平台“三位一体”的政务服务管理模式；负责政务服务中心、行政审批大厅的建设和管理，负责对入驻行政审批大厅的行政审批及服务行为进行规范、管理。</w:t>
      </w:r>
    </w:p>
    <w:p>
      <w:pPr>
        <w:pStyle w:val="插入文本样式-插入总体目标文件"/>
      </w:pPr>
      <w:r>
        <w:t xml:space="preserve">（八）指导和推动全县政务服务信息化及社会信用体系建设。负责推进行政审批、公共服务、中介服务和公共资源交易信息化建设；指导乡镇、社区办政务服务信息化工作；推进全县电子证照库建设管理及政务公开工作；推进全县政务服务平台规范化、标准化、集约化建设和互联互通、数据共享；组织制定发展规划和年度工作要点；推动健全信用法规制度和标准体系；负责县级信用信息数据库、共享平台和网站建设，推动信用信息的汇聚、交换、共享和应用；负责守信联合激励和失信联合惩戒制度建设和工作实施，建立诚信综合监督体系；组织开展失信问题专项治理；加强城市信用建设，培育和发展信用服务市场；承担县社会信用体系建设领导小组的日常工作。</w:t>
      </w:r>
    </w:p>
    <w:p>
      <w:pPr>
        <w:pStyle w:val="插入文本样式-插入总体目标文件"/>
      </w:pPr>
      <w:r>
        <w:t xml:space="preserve">（九）协调指导政府群众服务热线工作，协调交办相关部门及时处理群众诉求；负责对进入行政审批大厅的行政审批、公共资源交易活动及其他政务服务事项投诉举报的承办、转办和督办工作。</w:t>
      </w:r>
    </w:p>
    <w:p>
      <w:pPr>
        <w:pStyle w:val="插入文本样式-插入总体目标文件"/>
      </w:pPr>
      <w:r>
        <w:t xml:space="preserve">（十）完成县委、县政府交办的其他任务。</w:t>
      </w:r>
    </w:p>
    <w:p>
      <w:pPr>
        <w:pStyle w:val="插入文本样式-插入总体目标文件"/>
      </w:pPr>
    </w:p>
    <w:p>
      <w:pPr>
        <w:spacing w:before="10" w:after="10"/>
        <w:ind w:firstLine="560"/>
        <w:jc w:val="left"/>
        <w:outlineLvl w:val="1"/>
      </w:pPr>
      <w:bookmarkStart w:id="1" w:name="_Toc_2_2_0000000002"/>
      <w:r>
        <w:rPr>
          <w:rFonts w:ascii="方正黑体_GBK" w:eastAsia="方正黑体_GBK" w:hAnsi="方正黑体_GBK" w:cs="方正黑体_GBK"/>
          <w:color w:val="000000"/>
          <w:sz w:val="28"/>
        </w:rPr>
        <w:t xml:space="preserve">二、分项绩效目标</w:t>
      </w:r>
      <w:bookmarkEnd w:id="1"/>
    </w:p>
    <w:p>
      <w:pPr>
        <w:pStyle w:val="插入文本样式-插入职责分类绩效目标文件"/>
      </w:pPr>
      <w:r>
        <w:t xml:space="preserve">（一）贯彻执行国家、省、市、县“放管服”改革、行政审批制度改革、政务服务管理、公共资源交易管理、社会信用体系建设有关方针政策和法律法规。</w:t>
      </w:r>
    </w:p>
    <w:p>
      <w:pPr>
        <w:pStyle w:val="插入文本样式-插入职责分类绩效目标文件"/>
      </w:pPr>
      <w:r>
        <w:t xml:space="preserve">（二）组织协调全县“放管服”改革工作。指导、督促、贯彻落实国家、省、市、县关于“放管服”改革重要领域、关键环节重大政策措施，承担县推进政府职能转变和“放管服”改革协调小组的日常工作。</w:t>
      </w:r>
    </w:p>
    <w:p>
      <w:pPr>
        <w:pStyle w:val="插入文本样式-插入职责分类绩效目标文件"/>
      </w:pPr>
      <w:r>
        <w:t xml:space="preserve">（三）指导协调全县行政审批制度改革工作。建立健全全县县乡村三级行政审批制度管理体系；推进简政放权，清理和规范各类行政许可等管理事项；协调推进行政审批标准化工作；承担县行政审批制度改革工作领导小组的日常工作。</w:t>
      </w:r>
    </w:p>
    <w:p>
      <w:pPr>
        <w:pStyle w:val="插入文本样式-插入职责分类绩效目标文件"/>
      </w:pPr>
      <w:r>
        <w:t xml:space="preserve">（四）指导协调全县政务服务管理工作。负责优化政务服务供给，降低制度性交易成本，提升政务服务效能；负责推进审批服务便民化；负责探索建立审批与监管的有效衔接机制；指导协调县有关部门为公民、法人或其他组织提供规范、高效、优质的政务服务；负责组织协调、督促、检查全县政务服务工作；对政务服务职能部门工作效能进行综合考评；对进驻事项的办理情况、效能及办事人员的服务质量等进行监督评价；对行政审批窗口工作人员进行教育、培训、管理和绩效考核。</w:t>
      </w:r>
    </w:p>
    <w:p>
      <w:pPr>
        <w:pStyle w:val="插入文本样式-插入职责分类绩效目标文件"/>
      </w:pPr>
      <w:r>
        <w:t xml:space="preserve">（五）负责投资项目、企业注册、市场服务、社会事务、经贸商务、交通运管、农林畜水、公共教育、劳动就业、社会保障、医疗卫生、住房保障、文化体育等行政审批事项集中办理及流程再造、环节优化；与群众日常生活密切相关的公共服务事项进驻中心,综合协调和监督管理县级各部门公共服务事项进驻中心，集中管理统一办理；推进重点项目审批服务的综合协调和督办；组织相关部门开展审批服务事项的联合办理和联审会办；研究推进并联审批服务工作；负责政府行政性收费等工作。</w:t>
      </w:r>
    </w:p>
    <w:p>
      <w:pPr>
        <w:pStyle w:val="插入文本样式-插入职责分类绩效目标文件"/>
      </w:pPr>
      <w:r>
        <w:t xml:space="preserve">（六）协调指导公共资源交易市场工作。负责拟订公共资源交易市场管理制度和规则；公共资源交易目录内的项目进场情况进行监督检查；协助有关部门对交易活动实施监督；受理对县公共资源交易中心的投诉并会同有关部门调查处理。会同有关部门拟定公共资源市场规则和制度并监督执行；负责公共资源交易中心规范性文件的合法性审查报送及备案报送。</w:t>
      </w:r>
    </w:p>
    <w:p>
      <w:pPr>
        <w:pStyle w:val="插入文本样式-插入职责分类绩效目标文件"/>
      </w:pPr>
      <w:r>
        <w:t xml:space="preserve">（七）指导协调全县政务服务管理工作。负责优化政务服务供给，降低制度性交易成本，提升政务服务效能；负责推进审批服务便民化；负责综合协调和管理县级各部门行政审批事项和公共服务事项的集中统一办理；指导协调县有关部门为公民、法人或其他组织提供规范、高效、优质的政务服务；推进“互联网+政务服务”工作，构建一体化网上政务服务平台。推行政务服务事项网上办理，形成管理机构、实体大厅、网上平台“三位一体”的政务服务管理模式；负责政务服务中心、行政审批大厅的建设和管理，负责对入驻行政审批大厅的行政审批及服务行为进行规范、管理。</w:t>
      </w:r>
    </w:p>
    <w:p>
      <w:pPr>
        <w:pStyle w:val="插入文本样式-插入职责分类绩效目标文件"/>
      </w:pPr>
      <w:r>
        <w:t xml:space="preserve">（八）指导和推动全县政务服务信息化及社会信用体系建设。负责推进行政审批、公共服务、中介服务和公共资源交易信息化建设；指导乡镇、社区办政务服务信息化工作；推进全县电子证照库建设管理及政务公开工作；推进全县政务服务平台规范化、标准化、集约化建设和互联互通、数据共享；组织制定发展规划和年度工作要点；推动健全信用法规制度和标准体系；负责县级信用信息数据库、共享平台和网站建设，推动信用信息的汇聚、交换、共享和应用；负责守信联合激励和失信联合惩戒制度建设和工作实施，建立诚信综合监督体系；组织开展失信问题专项治理；加强城市信用建设，培育和发展信用服务市场；承担县社会信用体系建设领导小组的日常工作。</w:t>
      </w:r>
    </w:p>
    <w:p>
      <w:pPr>
        <w:pStyle w:val="插入文本样式-插入职责分类绩效目标文件"/>
      </w:pPr>
      <w:r>
        <w:t xml:space="preserve">（九）协调指导政府群众服务热线工作，协调交办相关部门及时处理群众诉求；负责对进入行政审批大厅的行政审批、公共资源交易活动及其他政务服务事项投诉举报的承办、转办和督办工作。</w:t>
      </w:r>
    </w:p>
    <w:p>
      <w:pPr>
        <w:pStyle w:val="插入文本样式-插入职责分类绩效目标文件"/>
      </w:pPr>
      <w:r>
        <w:t xml:space="preserve">（十）完成县委、县政府交办的其他任务。</w:t>
      </w:r>
    </w:p>
    <w:p>
      <w:pPr>
        <w:pStyle w:val="插入文本样式-插入职责分类绩效目标文件"/>
      </w:pPr>
    </w:p>
    <w:p>
      <w:pPr>
        <w:spacing w:before="10" w:after="10"/>
        <w:ind w:firstLine="560"/>
        <w:jc w:val="left"/>
        <w:outlineLvl w:val="1"/>
      </w:pPr>
      <w:bookmarkStart w:id="2" w:name="_Toc_2_2_0000000003"/>
      <w:r>
        <w:rPr>
          <w:rFonts w:ascii="方正黑体_GBK" w:eastAsia="方正黑体_GBK" w:hAnsi="方正黑体_GBK" w:cs="方正黑体_GBK"/>
          <w:color w:val="000000"/>
          <w:sz w:val="28"/>
        </w:rPr>
        <w:t xml:space="preserve">三、工作保障措施</w:t>
      </w:r>
      <w:bookmarkEnd w:id="2"/>
    </w:p>
    <w:p>
      <w:pPr>
        <w:pStyle w:val="插入文本样式-插入实现年度发展规划目标的保障措施文件"/>
      </w:pPr>
      <w:r>
        <w:t xml:space="preserve">顺平县行政审批局面对全面深化改革的新形势和新要求，以党的十九大精神为指引，以“不忘初心、牢记使命”、“讲、转、强、抓”、“三深化、三提升”活动为契机。深入推进“双创双服”活动和“放管服”改革及政务服务“一网、一门、一窗、一次”办理工作。全面推行审批服务便民化，提升公共资源交易水平，解决服务“堵点”、“痛点”、“难点”问题，提升市场主体和人民群众的获得感和满意度。</w:t>
      </w:r>
    </w:p>
    <w:p>
      <w:pPr>
        <w:spacing w:before="0" w:after="0" w:line="240"/>
        <w:ind w:firstLine="0"/>
        <w:jc w:val="center"/>
        <w:outlineLvl w:val="9"/>
        <w:sectPr>
          <w:type w:val="nextPage"/>
          <w:pgSz w:w="11900" w:h="16840" w:orient="portrait"/>
          <w:pgMar w:top="1984" w:right="1304" w:bottom="1134" w:left="1304" w:header="720" w:footer="720" w:gutter="0"/>
          <w:pgNumType w:start="1"/>
        </w:sectPr>
      </w:pPr>
      <w:r>
        <w:rPr>
          <w:rFonts w:ascii="方正书宋_GBK" w:eastAsia="方正书宋_GBK" w:hAnsi="方正书宋_GBK" w:cs="方正书宋_GBK"/>
          <w:color w:val="000000"/>
          <w:sz w:val="21"/>
        </w:rPr>
        <w:t xml:space="preserve"> </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52"/>
        </w:rPr>
        <w:t xml:space="preserve"> </w:t>
      </w:r>
    </w:p>
    <w:p>
      <w:pPr>
        <w:spacing w:before="0" w:after="0" w:line="240"/>
        <w:ind w:firstLine="0"/>
        <w:jc w:val="center"/>
        <w:outlineLvl w:val="9"/>
      </w:pPr>
      <w:r>
        <w:rPr>
          <w:rFonts w:ascii="方正小标宋_GBK" w:eastAsia="方正小标宋_GBK" w:hAnsi="方正小标宋_GBK" w:cs="方正小标宋_GBK"/>
          <w:color w:val="000000"/>
          <w:sz w:val="44"/>
        </w:rPr>
        <w:t xml:space="preserve">第二部分</w:t>
      </w:r>
    </w:p>
    <w:p>
      <w:pPr>
        <w:spacing w:before="0" w:after="0" w:line="240"/>
        <w:ind w:firstLine="0"/>
        <w:jc w:val="center"/>
        <w:outlineLvl w:val="9"/>
      </w:pPr>
      <w:r>
        <w:rPr>
          <w:rFonts w:ascii="方正小标宋_GBK" w:eastAsia="方正小标宋_GBK" w:hAnsi="方正小标宋_GBK" w:cs="方正小标宋_GBK"/>
          <w:color w:val="000000"/>
          <w:sz w:val="44"/>
        </w:rPr>
        <w:t xml:space="preserve"> </w:t>
      </w:r>
    </w:p>
    <w:p>
      <w:pPr>
        <w:spacing w:before="0" w:after="0" w:line="240"/>
        <w:ind w:firstLine="0"/>
        <w:jc w:val="center"/>
        <w:outlineLvl w:val="0"/>
      </w:pPr>
      <w:r>
        <w:rPr>
          <w:rFonts w:ascii="方正小标宋_GBK" w:eastAsia="方正小标宋_GBK" w:hAnsi="方正小标宋_GBK" w:cs="方正小标宋_GBK"/>
          <w:color w:val="000000"/>
          <w:sz w:val="44"/>
        </w:rPr>
        <w:t xml:space="preserve">预算项目绩效目标</w:t>
      </w:r>
    </w:p>
    <w:p>
      <w:pPr>
        <w:spacing w:before="0" w:after="0" w:line="240"/>
        <w:ind w:firstLine="0"/>
        <w:jc w:val="center"/>
        <w:outlineLvl w:val="9"/>
        <w:sectPr>
          <w:type w:val="nextPage"/>
          <w:pgSz w:w="11900" w:h="16840" w:orient="portrait"/>
          <w:pgMar w:top="1984" w:right="1304" w:bottom="1134" w:left="1304" w:header="720" w:footer="720" w:gutter="0"/>
        </w:sectPr>
      </w:pPr>
      <w:r>
        <w:rPr>
          <w:rFonts w:ascii="方正书宋_GBK" w:eastAsia="方正书宋_GBK" w:hAnsi="方正书宋_GBK" w:cs="方正书宋_GBK"/>
          <w:color w:val="000000"/>
          <w:sz w:val="21"/>
        </w:rPr>
        <w:t xml:space="preserve"> </w:t>
      </w:r>
    </w:p>
    <w:p>
      <w:pPr>
        <w:spacing w:before="0" w:after="0" w:line="240"/>
        <w:ind w:firstLine="0"/>
        <w:jc w:val="center"/>
        <w:outlineLvl w:val="9"/>
      </w:pPr>
      <w:r>
        <w:rPr>
          <w:rFonts w:ascii="方正仿宋_GBK" w:eastAsia="方正仿宋_GBK" w:hAnsi="方正仿宋_GBK" w:cs="方正仿宋_GBK"/>
          <w:color w:val="000000"/>
          <w:sz w:val="28"/>
        </w:rPr>
        <w:t xml:space="preserve"> </w:t>
      </w:r>
    </w:p>
    <w:p>
      <w:pPr>
        <w:spacing w:before="0" w:after="0"/>
        <w:ind w:firstLine="560"/>
        <w:jc w:val="left"/>
        <w:outlineLvl w:val="3"/>
      </w:pPr>
      <w:bookmarkStart w:id="3" w:name="_Toc_4_4_0000000004"/>
      <w:r>
        <w:rPr>
          <w:rFonts w:ascii="方正仿宋_GBK" w:eastAsia="方正仿宋_GBK" w:hAnsi="方正仿宋_GBK" w:cs="方正仿宋_GBK"/>
          <w:color w:val="000000"/>
          <w:sz w:val="28"/>
        </w:rPr>
        <w:t xml:space="preserve">1.公共资源交易中心经费绩效目标表</w:t>
      </w:r>
      <w:bookmarkEnd w:id="3"/>
    </w:p>
    <w:tbl>
      <w:tblPr>
        <w:tblStyle w:val="TableNormal"/>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jc w:val="center"/>
        </w:trPr>
        <w:tc>
          <w:tcPr>
            <w:tcW w:w="8050" w:type="dxa"/>
            <w:hMerge w:val="restart"/>
            <w:tcBorders>
              <w:top w:val="single" w:sz="6" w:space="0" w:color="FFFFFF"/>
              <w:left w:val="single" w:sz="6" w:space="0" w:color="FFFFFF"/>
              <w:right w:val="single" w:sz="6" w:space="0" w:color="FFFFFF"/>
            </w:tcBorders>
            <w:vAlign w:val="center"/>
          </w:tcPr>
          <w:p>
            <w:pPr>
              <w:pStyle w:val="单元格样式5"/>
            </w:pPr>
            <w:r>
              <w:t xml:space="preserve">202001顺平县行政审批局（本级）</w:t>
            </w: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1843" w:type="dxa"/>
            <w:tcBorders>
              <w:top w:val="single" w:sz="6" w:space="0" w:color="FFFFFF"/>
              <w:left w:val="single" w:sz="6" w:space="0" w:color="FFFFFF"/>
              <w:right w:val="single" w:sz="6" w:space="0" w:color="FFFFFF"/>
            </w:tcBorders>
            <w:vAlign w:val="center"/>
          </w:tcPr>
          <w:p>
            <w:pPr>
              <w:pStyle w:val="单元格样式4"/>
            </w:pPr>
            <w:r>
              <w:t xml:space="preserve">单位：元</w:t>
            </w:r>
          </w:p>
        </w:tc>
      </w:tr>
      <w:tr>
        <w:trPr>
          <w:trHeight w:val="369"/>
          <w:jc w:val="center"/>
        </w:trPr>
        <w:tc>
          <w:tcPr>
            <w:tcW w:w="1276" w:type="dxa"/>
            <w:vAlign w:val="center"/>
          </w:tcPr>
          <w:p>
            <w:pPr>
              <w:pStyle w:val="单元格样式1"/>
            </w:pPr>
            <w:r>
              <w:t xml:space="preserve">项目编码</w:t>
            </w:r>
          </w:p>
        </w:tc>
        <w:tc>
          <w:tcPr>
            <w:tcW w:w="2608" w:type="dxa"/>
            <w:hMerge w:val="restart"/>
            <w:vAlign w:val="center"/>
          </w:tcPr>
          <w:p>
            <w:pPr>
              <w:pStyle w:val="单元格样式2"/>
            </w:pPr>
            <w:r>
              <w:t xml:space="preserve">13063622P00DLEU100135</w:t>
            </w:r>
          </w:p>
        </w:tc>
        <w:tc>
          <w:tcPr>
            <w:tcW w:w="0" w:type="auto"/>
            <w:hMerge/>
          </w:tcPr>
          <w:p>
            <w:pPr/>
          </w:p>
        </w:tc>
        <w:tc>
          <w:tcPr>
            <w:tcW w:w="1587" w:type="dxa"/>
            <w:vAlign w:val="center"/>
          </w:tcPr>
          <w:p>
            <w:pPr>
              <w:pStyle w:val="单元格样式1"/>
            </w:pPr>
            <w:r>
              <w:t xml:space="preserve">项目名称</w:t>
            </w:r>
          </w:p>
        </w:tc>
        <w:tc>
          <w:tcPr>
            <w:tcW w:w="4422" w:type="dxa"/>
            <w:hMerge w:val="restart"/>
            <w:vAlign w:val="center"/>
          </w:tcPr>
          <w:p>
            <w:pPr>
              <w:pStyle w:val="单元格样式2"/>
            </w:pPr>
            <w:r>
              <w:t xml:space="preserve">公共资源交易中心经费</w:t>
            </w: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预算规模及资金用途</w:t>
            </w:r>
          </w:p>
        </w:tc>
        <w:tc>
          <w:tcPr>
            <w:tcW w:w="1276" w:type="dxa"/>
            <w:vAlign w:val="center"/>
          </w:tcPr>
          <w:p>
            <w:pPr>
              <w:pStyle w:val="单元格样式1"/>
            </w:pPr>
            <w:r>
              <w:t xml:space="preserve">预算数</w:t>
            </w:r>
          </w:p>
        </w:tc>
        <w:tc>
          <w:tcPr>
            <w:tcW w:w="1332" w:type="dxa"/>
            <w:vAlign w:val="center"/>
          </w:tcPr>
          <w:p>
            <w:pPr>
              <w:pStyle w:val="单元格样式2"/>
            </w:pPr>
            <w:r>
              <w:t xml:space="preserve">48100.00</w:t>
            </w:r>
          </w:p>
        </w:tc>
        <w:tc>
          <w:tcPr>
            <w:tcW w:w="1587" w:type="dxa"/>
            <w:vAlign w:val="center"/>
          </w:tcPr>
          <w:p>
            <w:pPr>
              <w:pStyle w:val="单元格样式1"/>
            </w:pPr>
            <w:r>
              <w:t xml:space="preserve">其中：财政    资金</w:t>
            </w:r>
          </w:p>
        </w:tc>
        <w:tc>
          <w:tcPr>
            <w:tcW w:w="1304" w:type="dxa"/>
            <w:vAlign w:val="center"/>
          </w:tcPr>
          <w:p>
            <w:pPr>
              <w:pStyle w:val="单元格样式2"/>
            </w:pPr>
            <w:r>
              <w:t xml:space="preserve">48100.00</w:t>
            </w:r>
          </w:p>
        </w:tc>
        <w:tc>
          <w:tcPr>
            <w:tcW w:w="1276" w:type="dxa"/>
            <w:vAlign w:val="center"/>
          </w:tcPr>
          <w:p>
            <w:pPr>
              <w:pStyle w:val="单元格样式1"/>
            </w:pPr>
            <w:r>
              <w:t xml:space="preserve">其他资金</w:t>
            </w:r>
          </w:p>
        </w:tc>
        <w:tc>
          <w:tcPr>
            <w:tcW w:w="1843" w:type="dxa"/>
            <w:vAlign w:val="center"/>
          </w:tcPr>
          <w:p>
            <w:pPr>
              <w:pStyle w:val="单元格样式2"/>
            </w:pPr>
            <w:r>
              <w:t xml:space="preserve"> </w:t>
            </w:r>
          </w:p>
        </w:tc>
      </w:tr>
      <w:tr>
        <w:trPr>
          <w:trHeight w:val="369"/>
          <w:jc w:val="center"/>
        </w:trPr>
        <w:tc>
          <w:tcPr>
            <w:tcW w:w="1276" w:type="dxa"/>
            <w:vMerge/>
          </w:tcPr>
          <w:p>
            <w:pPr/>
          </w:p>
        </w:tc>
        <w:tc>
          <w:tcPr>
            <w:tcW w:w="8617" w:type="dxa"/>
            <w:hMerge w:val="restart"/>
            <w:vAlign w:val="center"/>
          </w:tcPr>
          <w:p>
            <w:pPr>
              <w:pStyle w:val="单元格样式2"/>
            </w:pPr>
            <w:r>
              <w:t xml:space="preserve">公共资源交易中心经费</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资金支出计划（%）</w:t>
            </w:r>
          </w:p>
        </w:tc>
        <w:tc>
          <w:tcPr>
            <w:tcW w:w="2608" w:type="dxa"/>
            <w:hMerge w:val="restart"/>
            <w:vAlign w:val="center"/>
          </w:tcPr>
          <w:p>
            <w:pPr>
              <w:pStyle w:val="单元格样式1"/>
            </w:pPr>
            <w:r>
              <w:t xml:space="preserve">3月底</w:t>
            </w:r>
          </w:p>
        </w:tc>
        <w:tc>
          <w:tcPr>
            <w:tcW w:w="0" w:type="auto"/>
            <w:hMerge/>
          </w:tcPr>
          <w:p>
            <w:pPr/>
          </w:p>
        </w:tc>
        <w:tc>
          <w:tcPr>
            <w:tcW w:w="1587" w:type="dxa"/>
            <w:vAlign w:val="center"/>
          </w:tcPr>
          <w:p>
            <w:pPr>
              <w:pStyle w:val="单元格样式1"/>
            </w:pPr>
            <w:r>
              <w:t xml:space="preserve">6月底</w:t>
            </w:r>
          </w:p>
        </w:tc>
        <w:tc>
          <w:tcPr>
            <w:tcW w:w="1304" w:type="dxa"/>
            <w:vAlign w:val="center"/>
          </w:tcPr>
          <w:p>
            <w:pPr>
              <w:pStyle w:val="单元格样式1"/>
            </w:pPr>
            <w:r>
              <w:t xml:space="preserve">10月底</w:t>
            </w:r>
          </w:p>
        </w:tc>
        <w:tc>
          <w:tcPr>
            <w:tcW w:w="3118" w:type="dxa"/>
            <w:hMerge w:val="restart"/>
            <w:vAlign w:val="center"/>
          </w:tcPr>
          <w:p>
            <w:pPr>
              <w:pStyle w:val="单元格样式1"/>
            </w:pPr>
            <w:r>
              <w:t xml:space="preserve">12月底</w:t>
            </w:r>
          </w:p>
        </w:tc>
        <w:tc>
          <w:tcPr>
            <w:tcW w:w="0" w:type="auto"/>
            <w:hMerge/>
          </w:tcPr>
          <w:p>
            <w:pPr/>
          </w:p>
        </w:tc>
      </w:tr>
      <w:tr>
        <w:trPr>
          <w:trHeight w:val="369"/>
          <w:jc w:val="center"/>
        </w:trPr>
        <w:tc>
          <w:tcPr>
            <w:tcW w:w="1276" w:type="dxa"/>
            <w:vMerge/>
          </w:tcPr>
          <w:p>
            <w:pPr/>
          </w:p>
        </w:tc>
        <w:tc>
          <w:tcPr>
            <w:tcW w:w="2608" w:type="dxa"/>
            <w:hMerge w:val="restart"/>
            <w:vAlign w:val="center"/>
          </w:tcPr>
          <w:p>
            <w:pPr>
              <w:pStyle w:val="单元格样式3"/>
            </w:pPr>
            <w:r>
              <w:t xml:space="preserve">25%</w:t>
            </w:r>
          </w:p>
        </w:tc>
        <w:tc>
          <w:tcPr>
            <w:tcW w:w="0" w:type="auto"/>
            <w:hMerge/>
          </w:tcPr>
          <w:p>
            <w:pPr/>
          </w:p>
        </w:tc>
        <w:tc>
          <w:tcPr>
            <w:tcW w:w="1587" w:type="dxa"/>
            <w:vAlign w:val="center"/>
          </w:tcPr>
          <w:p>
            <w:pPr>
              <w:pStyle w:val="单元格样式3"/>
            </w:pPr>
            <w:r>
              <w:t xml:space="preserve">50%</w:t>
            </w:r>
          </w:p>
        </w:tc>
        <w:tc>
          <w:tcPr>
            <w:tcW w:w="1304" w:type="dxa"/>
            <w:vAlign w:val="center"/>
          </w:tcPr>
          <w:p>
            <w:pPr>
              <w:pStyle w:val="单元格样式3"/>
            </w:pPr>
            <w:r>
              <w:t xml:space="preserve">75%</w:t>
            </w:r>
          </w:p>
        </w:tc>
        <w:tc>
          <w:tcPr>
            <w:tcW w:w="3118" w:type="dxa"/>
            <w:hMerge w:val="restart"/>
            <w:vAlign w:val="center"/>
          </w:tcPr>
          <w:p>
            <w:pPr>
              <w:pStyle w:val="单元格样式3"/>
            </w:pPr>
            <w:r>
              <w:t xml:space="preserve">100%</w:t>
            </w:r>
          </w:p>
        </w:tc>
        <w:tc>
          <w:tcPr>
            <w:tcW w:w="0" w:type="auto"/>
            <w:hMerge/>
          </w:tcPr>
          <w:p>
            <w:pPr/>
          </w:p>
        </w:tc>
      </w:tr>
      <w:tr>
        <w:trPr>
          <w:trHeight w:val="369"/>
          <w:jc w:val="center"/>
        </w:trPr>
        <w:tc>
          <w:tcPr>
            <w:tcW w:w="1276" w:type="dxa"/>
            <w:vAlign w:val="center"/>
          </w:tcPr>
          <w:p>
            <w:pPr>
              <w:pStyle w:val="单元格样式1"/>
            </w:pPr>
            <w:r>
              <w:t xml:space="preserve">绩效目标</w:t>
            </w:r>
          </w:p>
        </w:tc>
        <w:tc>
          <w:tcPr>
            <w:tcW w:w="8617" w:type="dxa"/>
            <w:hMerge w:val="restart"/>
            <w:vAlign w:val="center"/>
          </w:tcPr>
          <w:p>
            <w:pPr>
              <w:pStyle w:val="单元格样式2"/>
            </w:pPr>
            <w:r>
              <w:t xml:space="preserve">1.为全县提供招投标服务保障</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bl>
    <w:p>
      <w:pPr>
        <w:spacing w:before="0" w:after="0" w:line="2" w:lineRule="exact"/>
        <w:ind w:firstLine="0"/>
        <w:jc w:val="center"/>
        <w:outlineLvl w:val="9"/>
      </w:pPr>
      <w:r>
        <w:rPr>
          <w:rFonts w:ascii="方正书宋_GBK" w:eastAsia="方正书宋_GBK" w:hAnsi="方正书宋_GBK" w:cs="方正书宋_GBK"/>
          <w:color w:val="000000"/>
          <w:sz w:val="21"/>
        </w:rPr>
        <w:t xml:space="preserve"> </w:t>
      </w:r>
    </w:p>
    <w:tbl>
      <w:tblPr>
        <w:tblStyle w:val="TableNormal"/>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tblHeader/>
          <w:jc w:val="center"/>
        </w:trPr>
        <w:tc>
          <w:tcPr>
            <w:tcW w:w="1276" w:type="dxa"/>
            <w:vAlign w:val="center"/>
          </w:tcPr>
          <w:p>
            <w:pPr>
              <w:pStyle w:val="单元格样式1"/>
            </w:pPr>
            <w:r>
              <w:t xml:space="preserve">一级指标</w:t>
            </w:r>
          </w:p>
        </w:tc>
        <w:tc>
          <w:tcPr>
            <w:tcW w:w="1276" w:type="dxa"/>
            <w:vAlign w:val="center"/>
          </w:tcPr>
          <w:p>
            <w:pPr>
              <w:pStyle w:val="单元格样式1"/>
            </w:pPr>
            <w:r>
              <w:t xml:space="preserve">二级指标</w:t>
            </w:r>
          </w:p>
        </w:tc>
        <w:tc>
          <w:tcPr>
            <w:tcW w:w="1332" w:type="dxa"/>
            <w:vAlign w:val="center"/>
          </w:tcPr>
          <w:p>
            <w:pPr>
              <w:pStyle w:val="单元格样式1"/>
            </w:pPr>
            <w:r>
              <w:t xml:space="preserve">三级指标</w:t>
            </w:r>
          </w:p>
        </w:tc>
        <w:tc>
          <w:tcPr>
            <w:tcW w:w="2891" w:type="dxa"/>
            <w:hMerge w:val="restart"/>
            <w:vAlign w:val="center"/>
          </w:tcPr>
          <w:p>
            <w:pPr>
              <w:pStyle w:val="单元格样式1"/>
            </w:pPr>
            <w:r>
              <w:t xml:space="preserve">绩效指标描述</w:t>
            </w:r>
          </w:p>
        </w:tc>
        <w:tc>
          <w:tcPr>
            <w:tcW w:w="0" w:type="auto"/>
            <w:hMerge/>
          </w:tcPr>
          <w:p>
            <w:pPr/>
          </w:p>
        </w:tc>
        <w:tc>
          <w:tcPr>
            <w:tcW w:w="1276" w:type="dxa"/>
            <w:vAlign w:val="center"/>
          </w:tcPr>
          <w:p>
            <w:pPr>
              <w:pStyle w:val="单元格样式1"/>
            </w:pPr>
            <w:r>
              <w:t xml:space="preserve">指标值</w:t>
            </w:r>
          </w:p>
        </w:tc>
        <w:tc>
          <w:tcPr>
            <w:tcW w:w="1843" w:type="dxa"/>
            <w:vAlign w:val="center"/>
          </w:tcPr>
          <w:p>
            <w:pPr>
              <w:pStyle w:val="单元格样式1"/>
            </w:pPr>
            <w:r>
              <w:t xml:space="preserve">指标值确定依据</w:t>
            </w:r>
          </w:p>
        </w:tc>
      </w:tr>
      <w:tr>
        <w:trPr>
          <w:trHeight w:val="369"/>
          <w:jc w:val="center"/>
        </w:trPr>
        <w:tc>
          <w:tcPr>
            <w:tcW w:w="1276" w:type="dxa"/>
            <w:vMerge w:val="restart"/>
            <w:vAlign w:val="center"/>
          </w:tcPr>
          <w:p>
            <w:pPr>
              <w:pStyle w:val="单元格样式3"/>
            </w:pPr>
            <w:r>
              <w:t xml:space="preserve">产出指标</w:t>
            </w:r>
          </w:p>
        </w:tc>
        <w:tc>
          <w:tcPr>
            <w:tcW w:w="1276" w:type="dxa"/>
            <w:vAlign w:val="center"/>
          </w:tcPr>
          <w:p>
            <w:pPr>
              <w:pStyle w:val="单元格样式2"/>
            </w:pPr>
            <w:r>
              <w:t xml:space="preserve">数量指标</w:t>
            </w:r>
          </w:p>
        </w:tc>
        <w:tc>
          <w:tcPr>
            <w:tcW w:w="1332" w:type="dxa"/>
            <w:vAlign w:val="center"/>
          </w:tcPr>
          <w:p>
            <w:pPr>
              <w:pStyle w:val="单元格样式2"/>
            </w:pPr>
            <w:r>
              <w:t xml:space="preserve">为全县每年月300个项目</w:t>
            </w:r>
          </w:p>
        </w:tc>
        <w:tc>
          <w:tcPr>
            <w:tcW w:w="2891" w:type="dxa"/>
            <w:hMerge w:val="restart"/>
            <w:vAlign w:val="center"/>
          </w:tcPr>
          <w:p>
            <w:pPr>
              <w:pStyle w:val="单元格样式2"/>
            </w:pPr>
            <w:r>
              <w:t xml:space="preserve">为全县每年月300个项目提供招标服务</w:t>
            </w:r>
          </w:p>
        </w:tc>
        <w:tc>
          <w:tcPr>
            <w:tcW w:w="0" w:type="auto"/>
            <w:hMerge/>
            <w:vAlign w:val="center"/>
          </w:tcPr>
          <w:p>
            <w:pPr/>
          </w:p>
        </w:tc>
        <w:tc>
          <w:tcPr>
            <w:tcW w:w="1276" w:type="dxa"/>
            <w:vAlign w:val="center"/>
          </w:tcPr>
          <w:p>
            <w:pPr>
              <w:pStyle w:val="单元格样式2"/>
            </w:pPr>
            <w:r>
              <w:t xml:space="preserve">334个</w:t>
            </w:r>
          </w:p>
        </w:tc>
        <w:tc>
          <w:tcPr>
            <w:tcW w:w="1843" w:type="dxa"/>
            <w:vAlign w:val="center"/>
          </w:tcPr>
          <w:p>
            <w:pPr>
              <w:pStyle w:val="单元格样式2"/>
            </w:pPr>
            <w:r>
              <w:t xml:space="preserve">三定方案</w:t>
            </w:r>
          </w:p>
        </w:tc>
      </w:tr>
      <w:tr>
        <w:trPr>
          <w:trHeight w:val="369"/>
          <w:jc w:val="center"/>
        </w:trPr>
        <w:tc>
          <w:tcPr>
            <w:tcW w:w="1276" w:type="dxa"/>
            <w:vMerge/>
            <w:vAlign w:val="center"/>
          </w:tcPr>
          <w:p>
            <w:pPr/>
          </w:p>
        </w:tc>
        <w:tc>
          <w:tcPr>
            <w:tcW w:w="1276" w:type="dxa"/>
            <w:vAlign w:val="center"/>
          </w:tcPr>
          <w:p>
            <w:pPr>
              <w:pStyle w:val="单元格样式2"/>
            </w:pPr>
            <w:r>
              <w:t xml:space="preserve">质量指标</w:t>
            </w:r>
          </w:p>
        </w:tc>
        <w:tc>
          <w:tcPr>
            <w:tcW w:w="1332" w:type="dxa"/>
            <w:vAlign w:val="center"/>
          </w:tcPr>
          <w:p>
            <w:pPr>
              <w:pStyle w:val="单元格样式2"/>
            </w:pPr>
            <w:r>
              <w:t xml:space="preserve">切实优化营商环境增加企业开办便利度</w:t>
            </w:r>
          </w:p>
        </w:tc>
        <w:tc>
          <w:tcPr>
            <w:tcW w:w="2891" w:type="dxa"/>
            <w:hMerge w:val="restart"/>
            <w:vAlign w:val="center"/>
          </w:tcPr>
          <w:p>
            <w:pPr>
              <w:pStyle w:val="单元格样式2"/>
            </w:pPr>
            <w:r>
              <w:t xml:space="preserve">为招标人提供招标服务平台</w:t>
            </w:r>
          </w:p>
        </w:tc>
        <w:tc>
          <w:tcPr>
            <w:tcW w:w="0" w:type="auto"/>
            <w:hMerge/>
            <w:vAlign w:val="center"/>
          </w:tcPr>
          <w:p>
            <w:pPr/>
          </w:p>
        </w:tc>
        <w:tc>
          <w:tcPr>
            <w:tcW w:w="1276" w:type="dxa"/>
            <w:vAlign w:val="center"/>
          </w:tcPr>
          <w:p>
            <w:pPr>
              <w:pStyle w:val="单元格样式2"/>
            </w:pPr>
            <w:r>
              <w:t xml:space="preserve">4.81万元</w:t>
            </w:r>
          </w:p>
        </w:tc>
        <w:tc>
          <w:tcPr>
            <w:tcW w:w="1843" w:type="dxa"/>
            <w:vAlign w:val="center"/>
          </w:tcPr>
          <w:p>
            <w:pPr>
              <w:pStyle w:val="单元格样式2"/>
            </w:pPr>
            <w:r>
              <w:t xml:space="preserve">三定方案</w:t>
            </w:r>
          </w:p>
        </w:tc>
      </w:tr>
      <w:tr>
        <w:trPr>
          <w:trHeight w:val="369"/>
          <w:jc w:val="center"/>
        </w:trPr>
        <w:tc>
          <w:tcPr>
            <w:tcW w:w="1276" w:type="dxa"/>
            <w:vMerge/>
            <w:vAlign w:val="center"/>
          </w:tcPr>
          <w:p>
            <w:pPr/>
          </w:p>
        </w:tc>
        <w:tc>
          <w:tcPr>
            <w:tcW w:w="1276" w:type="dxa"/>
            <w:vAlign w:val="center"/>
          </w:tcPr>
          <w:p>
            <w:pPr>
              <w:pStyle w:val="单元格样式2"/>
            </w:pPr>
            <w:r>
              <w:t xml:space="preserve">时效指标</w:t>
            </w:r>
          </w:p>
        </w:tc>
        <w:tc>
          <w:tcPr>
            <w:tcW w:w="1332" w:type="dxa"/>
            <w:vAlign w:val="center"/>
          </w:tcPr>
          <w:p>
            <w:pPr>
              <w:pStyle w:val="单元格样式2"/>
            </w:pPr>
            <w:r>
              <w:t xml:space="preserve">实现企业全程网上办理</w:t>
            </w:r>
          </w:p>
        </w:tc>
        <w:tc>
          <w:tcPr>
            <w:tcW w:w="2891" w:type="dxa"/>
            <w:hMerge w:val="restart"/>
            <w:vAlign w:val="center"/>
          </w:tcPr>
          <w:p>
            <w:pPr>
              <w:pStyle w:val="单元格样式2"/>
            </w:pPr>
            <w:r>
              <w:t xml:space="preserve">根据招标人、企业需要，随时提供</w:t>
            </w:r>
          </w:p>
        </w:tc>
        <w:tc>
          <w:tcPr>
            <w:tcW w:w="0" w:type="auto"/>
            <w:hMerge/>
            <w:vAlign w:val="center"/>
          </w:tcPr>
          <w:p>
            <w:pPr/>
          </w:p>
        </w:tc>
        <w:tc>
          <w:tcPr>
            <w:tcW w:w="1276" w:type="dxa"/>
            <w:vAlign w:val="center"/>
          </w:tcPr>
          <w:p>
            <w:pPr>
              <w:pStyle w:val="单元格样式2"/>
            </w:pPr>
            <w:r>
              <w:t xml:space="preserve">12月</w:t>
            </w:r>
          </w:p>
        </w:tc>
        <w:tc>
          <w:tcPr>
            <w:tcW w:w="1843" w:type="dxa"/>
            <w:vAlign w:val="center"/>
          </w:tcPr>
          <w:p>
            <w:pPr>
              <w:pStyle w:val="单元格样式2"/>
            </w:pPr>
            <w:r>
              <w:t xml:space="preserve">三定方案</w:t>
            </w:r>
          </w:p>
        </w:tc>
      </w:tr>
      <w:tr>
        <w:trPr>
          <w:trHeight w:val="369"/>
          <w:jc w:val="center"/>
        </w:trPr>
        <w:tc>
          <w:tcPr>
            <w:tcW w:w="1276" w:type="dxa"/>
            <w:vMerge/>
            <w:vAlign w:val="center"/>
          </w:tcPr>
          <w:p>
            <w:pPr/>
          </w:p>
        </w:tc>
        <w:tc>
          <w:tcPr>
            <w:tcW w:w="1276" w:type="dxa"/>
            <w:vAlign w:val="center"/>
          </w:tcPr>
          <w:p>
            <w:pPr>
              <w:pStyle w:val="单元格样式2"/>
            </w:pPr>
            <w:r>
              <w:t xml:space="preserve">成本指标</w:t>
            </w:r>
          </w:p>
        </w:tc>
        <w:tc>
          <w:tcPr>
            <w:tcW w:w="1332" w:type="dxa"/>
            <w:vAlign w:val="center"/>
          </w:tcPr>
          <w:p>
            <w:pPr>
              <w:pStyle w:val="单元格样式2"/>
            </w:pPr>
            <w:r>
              <w:t xml:space="preserve">每个334元，共300家</w:t>
            </w:r>
          </w:p>
        </w:tc>
        <w:tc>
          <w:tcPr>
            <w:tcW w:w="2891" w:type="dxa"/>
            <w:hMerge w:val="restart"/>
            <w:vAlign w:val="center"/>
          </w:tcPr>
          <w:p>
            <w:pPr>
              <w:pStyle w:val="单元格样式2"/>
            </w:pPr>
            <w:r>
              <w:t xml:space="preserve">为全县每年月300个项目提供招标服务</w:t>
            </w:r>
          </w:p>
        </w:tc>
        <w:tc>
          <w:tcPr>
            <w:tcW w:w="0" w:type="auto"/>
            <w:hMerge/>
            <w:vAlign w:val="center"/>
          </w:tcPr>
          <w:p>
            <w:pPr/>
          </w:p>
        </w:tc>
        <w:tc>
          <w:tcPr>
            <w:tcW w:w="1276" w:type="dxa"/>
            <w:vAlign w:val="center"/>
          </w:tcPr>
          <w:p>
            <w:pPr>
              <w:pStyle w:val="单元格样式2"/>
            </w:pPr>
            <w:r>
              <w:t xml:space="preserve">334元/套</w:t>
            </w:r>
          </w:p>
        </w:tc>
        <w:tc>
          <w:tcPr>
            <w:tcW w:w="1843" w:type="dxa"/>
            <w:vAlign w:val="center"/>
          </w:tcPr>
          <w:p>
            <w:pPr>
              <w:pStyle w:val="单元格样式2"/>
            </w:pPr>
            <w:r>
              <w:t xml:space="preserve">三定方案</w:t>
            </w:r>
          </w:p>
        </w:tc>
      </w:tr>
      <w:tr>
        <w:trPr>
          <w:trHeight w:val="369"/>
          <w:jc w:val="center"/>
        </w:trPr>
        <w:tc>
          <w:tcPr>
            <w:tcW w:w="1276" w:type="dxa"/>
            <w:vAlign w:val="center"/>
          </w:tcPr>
          <w:p>
            <w:pPr>
              <w:pStyle w:val="单元格样式3"/>
            </w:pPr>
            <w:r>
              <w:t xml:space="preserve">效益指标</w:t>
            </w:r>
          </w:p>
        </w:tc>
        <w:tc>
          <w:tcPr>
            <w:tcW w:w="1276" w:type="dxa"/>
            <w:vAlign w:val="center"/>
          </w:tcPr>
          <w:p>
            <w:pPr>
              <w:pStyle w:val="单元格样式2"/>
            </w:pPr>
            <w:r>
              <w:t xml:space="preserve">社会效益指标</w:t>
            </w:r>
          </w:p>
        </w:tc>
        <w:tc>
          <w:tcPr>
            <w:tcW w:w="1332" w:type="dxa"/>
            <w:vAlign w:val="center"/>
          </w:tcPr>
          <w:p>
            <w:pPr>
              <w:pStyle w:val="单元格样式2"/>
            </w:pPr>
            <w:r>
              <w:t xml:space="preserve">项目覆盖全县所有进厅项目，惠及全县群众</w:t>
            </w:r>
          </w:p>
        </w:tc>
        <w:tc>
          <w:tcPr>
            <w:tcW w:w="2891" w:type="dxa"/>
            <w:hMerge w:val="restart"/>
            <w:vAlign w:val="center"/>
          </w:tcPr>
          <w:p>
            <w:pPr>
              <w:pStyle w:val="单元格样式2"/>
            </w:pPr>
            <w:r>
              <w:t xml:space="preserve">项目覆盖全县所有进厅项目，惠及全县群众</w:t>
            </w:r>
          </w:p>
        </w:tc>
        <w:tc>
          <w:tcPr>
            <w:tcW w:w="0" w:type="auto"/>
            <w:hMerge/>
            <w:vAlign w:val="center"/>
          </w:tcPr>
          <w:p>
            <w:pPr/>
          </w:p>
        </w:tc>
        <w:tc>
          <w:tcPr>
            <w:tcW w:w="1276" w:type="dxa"/>
            <w:vAlign w:val="center"/>
          </w:tcPr>
          <w:p>
            <w:pPr>
              <w:pStyle w:val="单元格样式2"/>
            </w:pPr>
            <w:r>
              <w:t xml:space="preserve">100百分比</w:t>
            </w:r>
          </w:p>
        </w:tc>
        <w:tc>
          <w:tcPr>
            <w:tcW w:w="1843" w:type="dxa"/>
            <w:vAlign w:val="center"/>
          </w:tcPr>
          <w:p>
            <w:pPr>
              <w:pStyle w:val="单元格样式2"/>
            </w:pPr>
            <w:r>
              <w:t xml:space="preserve">三定方案</w:t>
            </w:r>
          </w:p>
        </w:tc>
      </w:tr>
      <w:tr>
        <w:trPr>
          <w:trHeight w:val="369"/>
          <w:jc w:val="center"/>
        </w:trPr>
        <w:tc>
          <w:tcPr>
            <w:tcW w:w="1276" w:type="dxa"/>
            <w:vAlign w:val="center"/>
          </w:tcPr>
          <w:p>
            <w:pPr>
              <w:pStyle w:val="单元格样式3"/>
            </w:pPr>
            <w:r>
              <w:t xml:space="preserve">满意度指标</w:t>
            </w:r>
          </w:p>
        </w:tc>
        <w:tc>
          <w:tcPr>
            <w:tcW w:w="1276" w:type="dxa"/>
            <w:vAlign w:val="center"/>
          </w:tcPr>
          <w:p>
            <w:pPr>
              <w:pStyle w:val="单元格样式2"/>
            </w:pPr>
            <w:r>
              <w:t xml:space="preserve">服务对象满意度指标</w:t>
            </w:r>
          </w:p>
        </w:tc>
        <w:tc>
          <w:tcPr>
            <w:tcW w:w="1332" w:type="dxa"/>
            <w:vAlign w:val="center"/>
          </w:tcPr>
          <w:p>
            <w:pPr>
              <w:pStyle w:val="单元格样式2"/>
            </w:pPr>
            <w:r>
              <w:t xml:space="preserve">市场主体满意度</w:t>
            </w:r>
          </w:p>
        </w:tc>
        <w:tc>
          <w:tcPr>
            <w:tcW w:w="2891" w:type="dxa"/>
            <w:hMerge w:val="restart"/>
            <w:vAlign w:val="center"/>
          </w:tcPr>
          <w:p>
            <w:pPr>
              <w:pStyle w:val="单元格样式2"/>
            </w:pPr>
            <w:r>
              <w:t xml:space="preserve">市场主体满意度</w:t>
            </w:r>
          </w:p>
        </w:tc>
        <w:tc>
          <w:tcPr>
            <w:tcW w:w="0" w:type="auto"/>
            <w:hMerge/>
            <w:vAlign w:val="center"/>
          </w:tcPr>
          <w:p>
            <w:pPr/>
          </w:p>
        </w:tc>
        <w:tc>
          <w:tcPr>
            <w:tcW w:w="1276" w:type="dxa"/>
            <w:vAlign w:val="center"/>
          </w:tcPr>
          <w:p>
            <w:pPr>
              <w:pStyle w:val="单元格样式2"/>
            </w:pPr>
            <w:r>
              <w:t xml:space="preserve">100百分比</w:t>
            </w:r>
          </w:p>
        </w:tc>
        <w:tc>
          <w:tcPr>
            <w:tcW w:w="1843" w:type="dxa"/>
            <w:vAlign w:val="center"/>
          </w:tcPr>
          <w:p>
            <w:pPr>
              <w:pStyle w:val="单元格样式2"/>
            </w:pPr>
            <w:r>
              <w:t xml:space="preserve">三定方案</w:t>
            </w:r>
          </w:p>
        </w:tc>
      </w:tr>
    </w:tbl>
    <w:p>
      <w:pPr>
        <w:sectPr>
          <w:type w:val="nextPage"/>
          <w:pgSz w:w="11900" w:h="16840" w:orient="portrait"/>
          <w:pgMar w:top="1984" w:right="1304" w:bottom="1134" w:left="1304" w:header="720" w:footer="720" w:gutter="0"/>
        </w:sectPr>
      </w:pPr>
    </w:p>
    <w:p>
      <w:pPr>
        <w:spacing w:before="0" w:after="0" w:line="240"/>
        <w:ind w:firstLine="0"/>
        <w:jc w:val="center"/>
        <w:outlineLvl w:val="9"/>
      </w:pPr>
      <w:r>
        <w:rPr>
          <w:rFonts w:ascii="方正仿宋_GBK" w:eastAsia="方正仿宋_GBK" w:hAnsi="方正仿宋_GBK" w:cs="方正仿宋_GBK"/>
          <w:color w:val="000000"/>
          <w:sz w:val="28"/>
        </w:rPr>
        <w:t xml:space="preserve"> </w:t>
      </w:r>
    </w:p>
    <w:p>
      <w:pPr>
        <w:spacing w:before="0" w:after="0"/>
        <w:ind w:firstLine="560"/>
        <w:jc w:val="left"/>
        <w:outlineLvl w:val="3"/>
      </w:pPr>
      <w:bookmarkStart w:id="4" w:name="_Toc_4_4_0000000005"/>
      <w:r>
        <w:rPr>
          <w:rFonts w:ascii="方正仿宋_GBK" w:eastAsia="方正仿宋_GBK" w:hAnsi="方正仿宋_GBK" w:cs="方正仿宋_GBK"/>
          <w:color w:val="000000"/>
          <w:sz w:val="28"/>
        </w:rPr>
        <w:t xml:space="preserve">2.业务经费绩效目标表</w:t>
      </w:r>
      <w:bookmarkEnd w:id="4"/>
    </w:p>
    <w:tbl>
      <w:tblPr>
        <w:tblStyle w:val="TableNormal"/>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jc w:val="center"/>
        </w:trPr>
        <w:tc>
          <w:tcPr>
            <w:tcW w:w="8050" w:type="dxa"/>
            <w:hMerge w:val="restart"/>
            <w:tcBorders>
              <w:top w:val="single" w:sz="6" w:space="0" w:color="FFFFFF"/>
              <w:left w:val="single" w:sz="6" w:space="0" w:color="FFFFFF"/>
              <w:right w:val="single" w:sz="6" w:space="0" w:color="FFFFFF"/>
            </w:tcBorders>
            <w:vAlign w:val="center"/>
          </w:tcPr>
          <w:p>
            <w:pPr>
              <w:pStyle w:val="单元格样式5"/>
            </w:pPr>
            <w:r>
              <w:t xml:space="preserve">202001顺平县行政审批局（本级）</w:t>
            </w: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1843" w:type="dxa"/>
            <w:tcBorders>
              <w:top w:val="single" w:sz="6" w:space="0" w:color="FFFFFF"/>
              <w:left w:val="single" w:sz="6" w:space="0" w:color="FFFFFF"/>
              <w:right w:val="single" w:sz="6" w:space="0" w:color="FFFFFF"/>
            </w:tcBorders>
            <w:vAlign w:val="center"/>
          </w:tcPr>
          <w:p>
            <w:pPr>
              <w:pStyle w:val="单元格样式4"/>
            </w:pPr>
            <w:r>
              <w:t xml:space="preserve">单位：元</w:t>
            </w:r>
          </w:p>
        </w:tc>
      </w:tr>
      <w:tr>
        <w:trPr>
          <w:trHeight w:val="369"/>
          <w:jc w:val="center"/>
        </w:trPr>
        <w:tc>
          <w:tcPr>
            <w:tcW w:w="1276" w:type="dxa"/>
            <w:vAlign w:val="center"/>
          </w:tcPr>
          <w:p>
            <w:pPr>
              <w:pStyle w:val="单元格样式1"/>
            </w:pPr>
            <w:r>
              <w:t xml:space="preserve">项目编码</w:t>
            </w:r>
          </w:p>
        </w:tc>
        <w:tc>
          <w:tcPr>
            <w:tcW w:w="2608" w:type="dxa"/>
            <w:hMerge w:val="restart"/>
            <w:vAlign w:val="center"/>
          </w:tcPr>
          <w:p>
            <w:pPr>
              <w:pStyle w:val="单元格样式2"/>
            </w:pPr>
            <w:r>
              <w:t xml:space="preserve">13063622P00DLEU10012H</w:t>
            </w:r>
          </w:p>
        </w:tc>
        <w:tc>
          <w:tcPr>
            <w:tcW w:w="0" w:type="auto"/>
            <w:hMerge/>
          </w:tcPr>
          <w:p>
            <w:pPr/>
          </w:p>
        </w:tc>
        <w:tc>
          <w:tcPr>
            <w:tcW w:w="1587" w:type="dxa"/>
            <w:vAlign w:val="center"/>
          </w:tcPr>
          <w:p>
            <w:pPr>
              <w:pStyle w:val="单元格样式1"/>
            </w:pPr>
            <w:r>
              <w:t xml:space="preserve">项目名称</w:t>
            </w:r>
          </w:p>
        </w:tc>
        <w:tc>
          <w:tcPr>
            <w:tcW w:w="4422" w:type="dxa"/>
            <w:hMerge w:val="restart"/>
            <w:vAlign w:val="center"/>
          </w:tcPr>
          <w:p>
            <w:pPr>
              <w:pStyle w:val="单元格样式2"/>
            </w:pPr>
            <w:r>
              <w:t xml:space="preserve">业务经费</w:t>
            </w: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预算规模及资金用途</w:t>
            </w:r>
          </w:p>
        </w:tc>
        <w:tc>
          <w:tcPr>
            <w:tcW w:w="1276" w:type="dxa"/>
            <w:vAlign w:val="center"/>
          </w:tcPr>
          <w:p>
            <w:pPr>
              <w:pStyle w:val="单元格样式1"/>
            </w:pPr>
            <w:r>
              <w:t xml:space="preserve">预算数</w:t>
            </w:r>
          </w:p>
        </w:tc>
        <w:tc>
          <w:tcPr>
            <w:tcW w:w="1332" w:type="dxa"/>
            <w:vAlign w:val="center"/>
          </w:tcPr>
          <w:p>
            <w:pPr>
              <w:pStyle w:val="单元格样式2"/>
            </w:pPr>
            <w:r>
              <w:t xml:space="preserve">300000.00</w:t>
            </w:r>
          </w:p>
        </w:tc>
        <w:tc>
          <w:tcPr>
            <w:tcW w:w="1587" w:type="dxa"/>
            <w:vAlign w:val="center"/>
          </w:tcPr>
          <w:p>
            <w:pPr>
              <w:pStyle w:val="单元格样式1"/>
            </w:pPr>
            <w:r>
              <w:t xml:space="preserve">其中：财政    资金</w:t>
            </w:r>
          </w:p>
        </w:tc>
        <w:tc>
          <w:tcPr>
            <w:tcW w:w="1304" w:type="dxa"/>
            <w:vAlign w:val="center"/>
          </w:tcPr>
          <w:p>
            <w:pPr>
              <w:pStyle w:val="单元格样式2"/>
            </w:pPr>
            <w:r>
              <w:t xml:space="preserve">300000.00</w:t>
            </w:r>
          </w:p>
        </w:tc>
        <w:tc>
          <w:tcPr>
            <w:tcW w:w="1276" w:type="dxa"/>
            <w:vAlign w:val="center"/>
          </w:tcPr>
          <w:p>
            <w:pPr>
              <w:pStyle w:val="单元格样式1"/>
            </w:pPr>
            <w:r>
              <w:t xml:space="preserve">其他资金</w:t>
            </w:r>
          </w:p>
        </w:tc>
        <w:tc>
          <w:tcPr>
            <w:tcW w:w="1843" w:type="dxa"/>
            <w:vAlign w:val="center"/>
          </w:tcPr>
          <w:p>
            <w:pPr>
              <w:pStyle w:val="单元格样式2"/>
            </w:pPr>
            <w:r>
              <w:t xml:space="preserve"> </w:t>
            </w:r>
          </w:p>
        </w:tc>
      </w:tr>
      <w:tr>
        <w:trPr>
          <w:trHeight w:val="369"/>
          <w:jc w:val="center"/>
        </w:trPr>
        <w:tc>
          <w:tcPr>
            <w:tcW w:w="1276" w:type="dxa"/>
            <w:vMerge/>
          </w:tcPr>
          <w:p>
            <w:pPr/>
          </w:p>
        </w:tc>
        <w:tc>
          <w:tcPr>
            <w:tcW w:w="8617" w:type="dxa"/>
            <w:hMerge w:val="restart"/>
            <w:vAlign w:val="center"/>
          </w:tcPr>
          <w:p>
            <w:pPr>
              <w:pStyle w:val="单元格样式2"/>
            </w:pPr>
            <w:r>
              <w:t xml:space="preserve">业务经费</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资金支出计划（%）</w:t>
            </w:r>
          </w:p>
        </w:tc>
        <w:tc>
          <w:tcPr>
            <w:tcW w:w="2608" w:type="dxa"/>
            <w:hMerge w:val="restart"/>
            <w:vAlign w:val="center"/>
          </w:tcPr>
          <w:p>
            <w:pPr>
              <w:pStyle w:val="单元格样式1"/>
            </w:pPr>
            <w:r>
              <w:t xml:space="preserve">3月底</w:t>
            </w:r>
          </w:p>
        </w:tc>
        <w:tc>
          <w:tcPr>
            <w:tcW w:w="0" w:type="auto"/>
            <w:hMerge/>
          </w:tcPr>
          <w:p>
            <w:pPr/>
          </w:p>
        </w:tc>
        <w:tc>
          <w:tcPr>
            <w:tcW w:w="1587" w:type="dxa"/>
            <w:vAlign w:val="center"/>
          </w:tcPr>
          <w:p>
            <w:pPr>
              <w:pStyle w:val="单元格样式1"/>
            </w:pPr>
            <w:r>
              <w:t xml:space="preserve">6月底</w:t>
            </w:r>
          </w:p>
        </w:tc>
        <w:tc>
          <w:tcPr>
            <w:tcW w:w="1304" w:type="dxa"/>
            <w:vAlign w:val="center"/>
          </w:tcPr>
          <w:p>
            <w:pPr>
              <w:pStyle w:val="单元格样式1"/>
            </w:pPr>
            <w:r>
              <w:t xml:space="preserve">10月底</w:t>
            </w:r>
          </w:p>
        </w:tc>
        <w:tc>
          <w:tcPr>
            <w:tcW w:w="3118" w:type="dxa"/>
            <w:hMerge w:val="restart"/>
            <w:vAlign w:val="center"/>
          </w:tcPr>
          <w:p>
            <w:pPr>
              <w:pStyle w:val="单元格样式1"/>
            </w:pPr>
            <w:r>
              <w:t xml:space="preserve">12月底</w:t>
            </w:r>
          </w:p>
        </w:tc>
        <w:tc>
          <w:tcPr>
            <w:tcW w:w="0" w:type="auto"/>
            <w:hMerge/>
          </w:tcPr>
          <w:p>
            <w:pPr/>
          </w:p>
        </w:tc>
      </w:tr>
      <w:tr>
        <w:trPr>
          <w:trHeight w:val="369"/>
          <w:jc w:val="center"/>
        </w:trPr>
        <w:tc>
          <w:tcPr>
            <w:tcW w:w="1276" w:type="dxa"/>
            <w:vMerge/>
          </w:tcPr>
          <w:p>
            <w:pPr/>
          </w:p>
        </w:tc>
        <w:tc>
          <w:tcPr>
            <w:tcW w:w="2608" w:type="dxa"/>
            <w:hMerge w:val="restart"/>
            <w:vAlign w:val="center"/>
          </w:tcPr>
          <w:p>
            <w:pPr>
              <w:pStyle w:val="单元格样式3"/>
            </w:pPr>
            <w:r>
              <w:t xml:space="preserve">25%</w:t>
            </w:r>
          </w:p>
        </w:tc>
        <w:tc>
          <w:tcPr>
            <w:tcW w:w="0" w:type="auto"/>
            <w:hMerge/>
          </w:tcPr>
          <w:p>
            <w:pPr/>
          </w:p>
        </w:tc>
        <w:tc>
          <w:tcPr>
            <w:tcW w:w="1587" w:type="dxa"/>
            <w:vAlign w:val="center"/>
          </w:tcPr>
          <w:p>
            <w:pPr>
              <w:pStyle w:val="单元格样式3"/>
            </w:pPr>
            <w:r>
              <w:t xml:space="preserve">50%</w:t>
            </w:r>
          </w:p>
        </w:tc>
        <w:tc>
          <w:tcPr>
            <w:tcW w:w="1304" w:type="dxa"/>
            <w:vAlign w:val="center"/>
          </w:tcPr>
          <w:p>
            <w:pPr>
              <w:pStyle w:val="单元格样式3"/>
            </w:pPr>
            <w:r>
              <w:t xml:space="preserve">75%</w:t>
            </w:r>
          </w:p>
        </w:tc>
        <w:tc>
          <w:tcPr>
            <w:tcW w:w="3118" w:type="dxa"/>
            <w:hMerge w:val="restart"/>
            <w:vAlign w:val="center"/>
          </w:tcPr>
          <w:p>
            <w:pPr>
              <w:pStyle w:val="单元格样式3"/>
            </w:pPr>
            <w:r>
              <w:t xml:space="preserve">100%</w:t>
            </w:r>
          </w:p>
        </w:tc>
        <w:tc>
          <w:tcPr>
            <w:tcW w:w="0" w:type="auto"/>
            <w:hMerge/>
          </w:tcPr>
          <w:p>
            <w:pPr/>
          </w:p>
        </w:tc>
      </w:tr>
      <w:tr>
        <w:trPr>
          <w:trHeight w:val="369"/>
          <w:jc w:val="center"/>
        </w:trPr>
        <w:tc>
          <w:tcPr>
            <w:tcW w:w="1276" w:type="dxa"/>
            <w:vAlign w:val="center"/>
          </w:tcPr>
          <w:p>
            <w:pPr>
              <w:pStyle w:val="单元格样式1"/>
            </w:pPr>
            <w:r>
              <w:t xml:space="preserve">绩效目标</w:t>
            </w:r>
          </w:p>
        </w:tc>
        <w:tc>
          <w:tcPr>
            <w:tcW w:w="8617" w:type="dxa"/>
            <w:hMerge w:val="restart"/>
            <w:vAlign w:val="center"/>
          </w:tcPr>
          <w:p>
            <w:pPr>
              <w:pStyle w:val="单元格样式2"/>
            </w:pPr>
            <w:r>
              <w:t xml:space="preserve">1.目标内容1根据实际需求及时间进度，及时拨付资金，保障单位正常运转。</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bl>
    <w:p>
      <w:pPr>
        <w:spacing w:before="0" w:after="0" w:line="2" w:lineRule="exact"/>
        <w:ind w:firstLine="0"/>
        <w:jc w:val="center"/>
        <w:outlineLvl w:val="9"/>
      </w:pPr>
      <w:r>
        <w:rPr>
          <w:rFonts w:ascii="方正书宋_GBK" w:eastAsia="方正书宋_GBK" w:hAnsi="方正书宋_GBK" w:cs="方正书宋_GBK"/>
          <w:color w:val="000000"/>
          <w:sz w:val="21"/>
        </w:rPr>
        <w:t xml:space="preserve"> </w:t>
      </w:r>
    </w:p>
    <w:tbl>
      <w:tblPr>
        <w:tblStyle w:val="TableNormal"/>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tblHeader/>
          <w:jc w:val="center"/>
        </w:trPr>
        <w:tc>
          <w:tcPr>
            <w:tcW w:w="1276" w:type="dxa"/>
            <w:vAlign w:val="center"/>
          </w:tcPr>
          <w:p>
            <w:pPr>
              <w:pStyle w:val="单元格样式1"/>
            </w:pPr>
            <w:r>
              <w:t xml:space="preserve">一级指标</w:t>
            </w:r>
          </w:p>
        </w:tc>
        <w:tc>
          <w:tcPr>
            <w:tcW w:w="1276" w:type="dxa"/>
            <w:vAlign w:val="center"/>
          </w:tcPr>
          <w:p>
            <w:pPr>
              <w:pStyle w:val="单元格样式1"/>
            </w:pPr>
            <w:r>
              <w:t xml:space="preserve">二级指标</w:t>
            </w:r>
          </w:p>
        </w:tc>
        <w:tc>
          <w:tcPr>
            <w:tcW w:w="1332" w:type="dxa"/>
            <w:vAlign w:val="center"/>
          </w:tcPr>
          <w:p>
            <w:pPr>
              <w:pStyle w:val="单元格样式1"/>
            </w:pPr>
            <w:r>
              <w:t xml:space="preserve">三级指标</w:t>
            </w:r>
          </w:p>
        </w:tc>
        <w:tc>
          <w:tcPr>
            <w:tcW w:w="2891" w:type="dxa"/>
            <w:hMerge w:val="restart"/>
            <w:vAlign w:val="center"/>
          </w:tcPr>
          <w:p>
            <w:pPr>
              <w:pStyle w:val="单元格样式1"/>
            </w:pPr>
            <w:r>
              <w:t xml:space="preserve">绩效指标描述</w:t>
            </w:r>
          </w:p>
        </w:tc>
        <w:tc>
          <w:tcPr>
            <w:tcW w:w="0" w:type="auto"/>
            <w:hMerge/>
          </w:tcPr>
          <w:p>
            <w:pPr/>
          </w:p>
        </w:tc>
        <w:tc>
          <w:tcPr>
            <w:tcW w:w="1276" w:type="dxa"/>
            <w:vAlign w:val="center"/>
          </w:tcPr>
          <w:p>
            <w:pPr>
              <w:pStyle w:val="单元格样式1"/>
            </w:pPr>
            <w:r>
              <w:t xml:space="preserve">指标值</w:t>
            </w:r>
          </w:p>
        </w:tc>
        <w:tc>
          <w:tcPr>
            <w:tcW w:w="1843" w:type="dxa"/>
            <w:vAlign w:val="center"/>
          </w:tcPr>
          <w:p>
            <w:pPr>
              <w:pStyle w:val="单元格样式1"/>
            </w:pPr>
            <w:r>
              <w:t xml:space="preserve">指标值确定依据</w:t>
            </w:r>
          </w:p>
        </w:tc>
      </w:tr>
      <w:tr>
        <w:trPr>
          <w:trHeight w:val="369"/>
          <w:jc w:val="center"/>
        </w:trPr>
        <w:tc>
          <w:tcPr>
            <w:tcW w:w="1276" w:type="dxa"/>
            <w:vMerge w:val="restart"/>
            <w:vAlign w:val="center"/>
          </w:tcPr>
          <w:p>
            <w:pPr>
              <w:pStyle w:val="单元格样式3"/>
            </w:pPr>
            <w:r>
              <w:t xml:space="preserve">产出指标</w:t>
            </w:r>
          </w:p>
        </w:tc>
        <w:tc>
          <w:tcPr>
            <w:tcW w:w="1276" w:type="dxa"/>
            <w:vAlign w:val="center"/>
          </w:tcPr>
          <w:p>
            <w:pPr>
              <w:pStyle w:val="单元格样式2"/>
            </w:pPr>
            <w:r>
              <w:t xml:space="preserve">数量指标</w:t>
            </w:r>
          </w:p>
        </w:tc>
        <w:tc>
          <w:tcPr>
            <w:tcW w:w="1332" w:type="dxa"/>
            <w:vAlign w:val="center"/>
          </w:tcPr>
          <w:p>
            <w:pPr>
              <w:pStyle w:val="单元格样式2"/>
            </w:pPr>
            <w:r>
              <w:t xml:space="preserve">确保323项审批事项完成</w:t>
            </w:r>
          </w:p>
        </w:tc>
        <w:tc>
          <w:tcPr>
            <w:tcW w:w="2891" w:type="dxa"/>
            <w:hMerge w:val="restart"/>
            <w:vAlign w:val="center"/>
          </w:tcPr>
          <w:p>
            <w:pPr>
              <w:pStyle w:val="单元格样式2"/>
            </w:pPr>
            <w:r>
              <w:t xml:space="preserve">确保323项审批事项完成</w:t>
            </w:r>
          </w:p>
        </w:tc>
        <w:tc>
          <w:tcPr>
            <w:tcW w:w="0" w:type="auto"/>
            <w:hMerge/>
            <w:vAlign w:val="center"/>
          </w:tcPr>
          <w:p>
            <w:pPr/>
          </w:p>
        </w:tc>
        <w:tc>
          <w:tcPr>
            <w:tcW w:w="1276" w:type="dxa"/>
            <w:vAlign w:val="center"/>
          </w:tcPr>
          <w:p>
            <w:pPr>
              <w:pStyle w:val="单元格样式2"/>
            </w:pPr>
            <w:r>
              <w:t xml:space="preserve">≥323项</w:t>
            </w:r>
          </w:p>
        </w:tc>
        <w:tc>
          <w:tcPr>
            <w:tcW w:w="1843" w:type="dxa"/>
            <w:vAlign w:val="center"/>
          </w:tcPr>
          <w:p>
            <w:pPr>
              <w:pStyle w:val="单元格样式2"/>
            </w:pPr>
            <w:r>
              <w:t xml:space="preserve">依据工作方案</w:t>
            </w:r>
          </w:p>
        </w:tc>
      </w:tr>
      <w:tr>
        <w:trPr>
          <w:trHeight w:val="369"/>
          <w:jc w:val="center"/>
        </w:trPr>
        <w:tc>
          <w:tcPr>
            <w:tcW w:w="1276" w:type="dxa"/>
            <w:vMerge/>
            <w:vAlign w:val="center"/>
          </w:tcPr>
          <w:p>
            <w:pPr/>
          </w:p>
        </w:tc>
        <w:tc>
          <w:tcPr>
            <w:tcW w:w="1276" w:type="dxa"/>
            <w:vAlign w:val="center"/>
          </w:tcPr>
          <w:p>
            <w:pPr>
              <w:pStyle w:val="单元格样式2"/>
            </w:pPr>
            <w:r>
              <w:t xml:space="preserve">质量指标</w:t>
            </w:r>
          </w:p>
        </w:tc>
        <w:tc>
          <w:tcPr>
            <w:tcW w:w="1332" w:type="dxa"/>
            <w:vAlign w:val="center"/>
          </w:tcPr>
          <w:p>
            <w:pPr>
              <w:pStyle w:val="单元格样式2"/>
            </w:pPr>
            <w:r>
              <w:t xml:space="preserve">323项审批事项网上办理</w:t>
            </w:r>
          </w:p>
        </w:tc>
        <w:tc>
          <w:tcPr>
            <w:tcW w:w="2891" w:type="dxa"/>
            <w:hMerge w:val="restart"/>
            <w:vAlign w:val="center"/>
          </w:tcPr>
          <w:p>
            <w:pPr>
              <w:pStyle w:val="单元格样式2"/>
            </w:pPr>
            <w:r>
              <w:t xml:space="preserve">323项审批事项网上办理率</w:t>
            </w:r>
          </w:p>
        </w:tc>
        <w:tc>
          <w:tcPr>
            <w:tcW w:w="0" w:type="auto"/>
            <w:hMerge/>
            <w:vAlign w:val="center"/>
          </w:tcPr>
          <w:p>
            <w:pPr/>
          </w:p>
        </w:tc>
        <w:tc>
          <w:tcPr>
            <w:tcW w:w="1276" w:type="dxa"/>
            <w:vAlign w:val="center"/>
          </w:tcPr>
          <w:p>
            <w:pPr>
              <w:pStyle w:val="单元格样式2"/>
            </w:pPr>
            <w:r>
              <w:t xml:space="preserve">≥95百分比</w:t>
            </w:r>
          </w:p>
        </w:tc>
        <w:tc>
          <w:tcPr>
            <w:tcW w:w="1843" w:type="dxa"/>
            <w:vAlign w:val="center"/>
          </w:tcPr>
          <w:p>
            <w:pPr>
              <w:pStyle w:val="单元格样式2"/>
            </w:pPr>
            <w:r>
              <w:t xml:space="preserve">依据工作方案</w:t>
            </w:r>
          </w:p>
        </w:tc>
      </w:tr>
      <w:tr>
        <w:trPr>
          <w:trHeight w:val="369"/>
          <w:jc w:val="center"/>
        </w:trPr>
        <w:tc>
          <w:tcPr>
            <w:tcW w:w="1276" w:type="dxa"/>
            <w:vMerge/>
            <w:vAlign w:val="center"/>
          </w:tcPr>
          <w:p>
            <w:pPr/>
          </w:p>
        </w:tc>
        <w:tc>
          <w:tcPr>
            <w:tcW w:w="1276" w:type="dxa"/>
            <w:vAlign w:val="center"/>
          </w:tcPr>
          <w:p>
            <w:pPr>
              <w:pStyle w:val="单元格样式2"/>
            </w:pPr>
            <w:r>
              <w:t xml:space="preserve">时效指标</w:t>
            </w:r>
          </w:p>
        </w:tc>
        <w:tc>
          <w:tcPr>
            <w:tcW w:w="1332" w:type="dxa"/>
            <w:vAlign w:val="center"/>
          </w:tcPr>
          <w:p>
            <w:pPr>
              <w:pStyle w:val="单元格样式2"/>
            </w:pPr>
            <w:r>
              <w:t xml:space="preserve">资金按月拨付</w:t>
            </w:r>
          </w:p>
        </w:tc>
        <w:tc>
          <w:tcPr>
            <w:tcW w:w="2891" w:type="dxa"/>
            <w:hMerge w:val="restart"/>
            <w:vAlign w:val="center"/>
          </w:tcPr>
          <w:p>
            <w:pPr>
              <w:pStyle w:val="单元格样式2"/>
            </w:pPr>
            <w:r>
              <w:t xml:space="preserve">按月拨付</w:t>
            </w:r>
          </w:p>
        </w:tc>
        <w:tc>
          <w:tcPr>
            <w:tcW w:w="0" w:type="auto"/>
            <w:hMerge/>
            <w:vAlign w:val="center"/>
          </w:tcPr>
          <w:p>
            <w:pPr/>
          </w:p>
        </w:tc>
        <w:tc>
          <w:tcPr>
            <w:tcW w:w="1276" w:type="dxa"/>
            <w:vAlign w:val="center"/>
          </w:tcPr>
          <w:p>
            <w:pPr>
              <w:pStyle w:val="单元格样式2"/>
            </w:pPr>
            <w:r>
              <w:t xml:space="preserve">≥2.5万元</w:t>
            </w:r>
          </w:p>
        </w:tc>
        <w:tc>
          <w:tcPr>
            <w:tcW w:w="1843" w:type="dxa"/>
            <w:vAlign w:val="center"/>
          </w:tcPr>
          <w:p>
            <w:pPr>
              <w:pStyle w:val="单元格样式2"/>
            </w:pPr>
            <w:r>
              <w:t xml:space="preserve">依据工作方案</w:t>
            </w:r>
          </w:p>
        </w:tc>
      </w:tr>
      <w:tr>
        <w:trPr>
          <w:trHeight w:val="369"/>
          <w:jc w:val="center"/>
        </w:trPr>
        <w:tc>
          <w:tcPr>
            <w:tcW w:w="1276" w:type="dxa"/>
            <w:vMerge/>
            <w:vAlign w:val="center"/>
          </w:tcPr>
          <w:p>
            <w:pPr/>
          </w:p>
        </w:tc>
        <w:tc>
          <w:tcPr>
            <w:tcW w:w="1276" w:type="dxa"/>
            <w:vAlign w:val="center"/>
          </w:tcPr>
          <w:p>
            <w:pPr>
              <w:pStyle w:val="单元格样式2"/>
            </w:pPr>
            <w:r>
              <w:t xml:space="preserve">成本指标</w:t>
            </w:r>
          </w:p>
        </w:tc>
        <w:tc>
          <w:tcPr>
            <w:tcW w:w="1332" w:type="dxa"/>
            <w:vAlign w:val="center"/>
          </w:tcPr>
          <w:p>
            <w:pPr>
              <w:pStyle w:val="单元格样式2"/>
            </w:pPr>
            <w:r>
              <w:t xml:space="preserve">正常运转费用</w:t>
            </w:r>
          </w:p>
        </w:tc>
        <w:tc>
          <w:tcPr>
            <w:tcW w:w="2891" w:type="dxa"/>
            <w:hMerge w:val="restart"/>
            <w:vAlign w:val="center"/>
          </w:tcPr>
          <w:p>
            <w:pPr>
              <w:pStyle w:val="单元格样式2"/>
            </w:pPr>
            <w:r>
              <w:t xml:space="preserve">正常运转费用</w:t>
            </w:r>
          </w:p>
        </w:tc>
        <w:tc>
          <w:tcPr>
            <w:tcW w:w="0" w:type="auto"/>
            <w:hMerge/>
            <w:vAlign w:val="center"/>
          </w:tcPr>
          <w:p>
            <w:pPr/>
          </w:p>
        </w:tc>
        <w:tc>
          <w:tcPr>
            <w:tcW w:w="1276" w:type="dxa"/>
            <w:vAlign w:val="center"/>
          </w:tcPr>
          <w:p>
            <w:pPr>
              <w:pStyle w:val="单元格样式2"/>
            </w:pPr>
            <w:r>
              <w:t xml:space="preserve">≥30万元</w:t>
            </w:r>
          </w:p>
        </w:tc>
        <w:tc>
          <w:tcPr>
            <w:tcW w:w="1843" w:type="dxa"/>
            <w:vAlign w:val="center"/>
          </w:tcPr>
          <w:p>
            <w:pPr>
              <w:pStyle w:val="单元格样式2"/>
            </w:pPr>
            <w:r>
              <w:t xml:space="preserve">依据工作方案</w:t>
            </w:r>
          </w:p>
        </w:tc>
      </w:tr>
      <w:tr>
        <w:trPr>
          <w:trHeight w:val="369"/>
          <w:jc w:val="center"/>
        </w:trPr>
        <w:tc>
          <w:tcPr>
            <w:tcW w:w="1276" w:type="dxa"/>
            <w:vAlign w:val="center"/>
          </w:tcPr>
          <w:p>
            <w:pPr>
              <w:pStyle w:val="单元格样式3"/>
            </w:pPr>
            <w:r>
              <w:t xml:space="preserve">效益指标</w:t>
            </w:r>
          </w:p>
        </w:tc>
        <w:tc>
          <w:tcPr>
            <w:tcW w:w="1276" w:type="dxa"/>
            <w:vAlign w:val="center"/>
          </w:tcPr>
          <w:p>
            <w:pPr>
              <w:pStyle w:val="单元格样式2"/>
            </w:pPr>
            <w:r>
              <w:t xml:space="preserve">社会效益指标</w:t>
            </w:r>
          </w:p>
        </w:tc>
        <w:tc>
          <w:tcPr>
            <w:tcW w:w="1332" w:type="dxa"/>
            <w:vAlign w:val="center"/>
          </w:tcPr>
          <w:p>
            <w:pPr>
              <w:pStyle w:val="单元格样式2"/>
            </w:pPr>
            <w:r>
              <w:t xml:space="preserve">保障日常运转，服务群众</w:t>
            </w:r>
          </w:p>
        </w:tc>
        <w:tc>
          <w:tcPr>
            <w:tcW w:w="2891" w:type="dxa"/>
            <w:hMerge w:val="restart"/>
            <w:vAlign w:val="center"/>
          </w:tcPr>
          <w:p>
            <w:pPr>
              <w:pStyle w:val="单元格样式2"/>
            </w:pPr>
            <w:r>
              <w:t xml:space="preserve">保障机关工作正常开展</w:t>
            </w:r>
          </w:p>
        </w:tc>
        <w:tc>
          <w:tcPr>
            <w:tcW w:w="0" w:type="auto"/>
            <w:hMerge/>
            <w:vAlign w:val="center"/>
          </w:tcPr>
          <w:p>
            <w:pPr/>
          </w:p>
        </w:tc>
        <w:tc>
          <w:tcPr>
            <w:tcW w:w="1276" w:type="dxa"/>
            <w:vAlign w:val="center"/>
          </w:tcPr>
          <w:p>
            <w:pPr>
              <w:pStyle w:val="单元格样式2"/>
            </w:pPr>
            <w:r>
              <w:t xml:space="preserve">≥98百分比</w:t>
            </w:r>
          </w:p>
        </w:tc>
        <w:tc>
          <w:tcPr>
            <w:tcW w:w="1843" w:type="dxa"/>
            <w:vAlign w:val="center"/>
          </w:tcPr>
          <w:p>
            <w:pPr>
              <w:pStyle w:val="单元格样式2"/>
            </w:pPr>
            <w:r>
              <w:t xml:space="preserve">依据工作方案</w:t>
            </w:r>
          </w:p>
        </w:tc>
      </w:tr>
      <w:tr>
        <w:trPr>
          <w:trHeight w:val="369"/>
          <w:jc w:val="center"/>
        </w:trPr>
        <w:tc>
          <w:tcPr>
            <w:tcW w:w="1276" w:type="dxa"/>
            <w:vAlign w:val="center"/>
          </w:tcPr>
          <w:p>
            <w:pPr>
              <w:pStyle w:val="单元格样式3"/>
            </w:pPr>
            <w:r>
              <w:t xml:space="preserve">满意度指标</w:t>
            </w:r>
          </w:p>
        </w:tc>
        <w:tc>
          <w:tcPr>
            <w:tcW w:w="1276" w:type="dxa"/>
            <w:vAlign w:val="center"/>
          </w:tcPr>
          <w:p>
            <w:pPr>
              <w:pStyle w:val="单元格样式2"/>
            </w:pPr>
            <w:r>
              <w:t xml:space="preserve">服务对象满意度指标</w:t>
            </w:r>
          </w:p>
        </w:tc>
        <w:tc>
          <w:tcPr>
            <w:tcW w:w="1332" w:type="dxa"/>
            <w:vAlign w:val="center"/>
          </w:tcPr>
          <w:p>
            <w:pPr>
              <w:pStyle w:val="单元格样式2"/>
            </w:pPr>
            <w:r>
              <w:t xml:space="preserve">单位人员满意度</w:t>
            </w:r>
          </w:p>
        </w:tc>
        <w:tc>
          <w:tcPr>
            <w:tcW w:w="2891" w:type="dxa"/>
            <w:hMerge w:val="restart"/>
            <w:vAlign w:val="center"/>
          </w:tcPr>
          <w:p>
            <w:pPr>
              <w:pStyle w:val="单元格样式2"/>
            </w:pPr>
            <w:r>
              <w:t xml:space="preserve">调查单位人员满意和较满意人员占被调查总数的比例</w:t>
            </w:r>
          </w:p>
        </w:tc>
        <w:tc>
          <w:tcPr>
            <w:tcW w:w="0" w:type="auto"/>
            <w:hMerge/>
            <w:vAlign w:val="center"/>
          </w:tcPr>
          <w:p>
            <w:pPr/>
          </w:p>
        </w:tc>
        <w:tc>
          <w:tcPr>
            <w:tcW w:w="1276" w:type="dxa"/>
            <w:vAlign w:val="center"/>
          </w:tcPr>
          <w:p>
            <w:pPr>
              <w:pStyle w:val="单元格样式2"/>
            </w:pPr>
            <w:r>
              <w:t xml:space="preserve">≥95百分比</w:t>
            </w:r>
          </w:p>
        </w:tc>
        <w:tc>
          <w:tcPr>
            <w:tcW w:w="1843" w:type="dxa"/>
            <w:vAlign w:val="center"/>
          </w:tcPr>
          <w:p>
            <w:pPr>
              <w:pStyle w:val="单元格样式2"/>
            </w:pPr>
            <w:r>
              <w:t xml:space="preserve">依据工作方案</w:t>
            </w:r>
          </w:p>
        </w:tc>
      </w:tr>
    </w:tbl>
    <w:p>
      <w:pPr>
        <w:sectPr>
          <w:type w:val="nextPage"/>
          <w:pgSz w:w="11900" w:h="16840" w:orient="portrait"/>
          <w:pgMar w:top="1984" w:right="1304" w:bottom="1134" w:left="1304" w:header="720" w:footer="720" w:gutter="0"/>
        </w:sectPr>
      </w:pPr>
    </w:p>
    <w:p>
      <w:pPr>
        <w:spacing w:before="0" w:after="0" w:line="240"/>
        <w:ind w:firstLine="0"/>
        <w:jc w:val="center"/>
        <w:outlineLvl w:val="9"/>
      </w:pPr>
      <w:r>
        <w:rPr>
          <w:rFonts w:ascii="方正仿宋_GBK" w:eastAsia="方正仿宋_GBK" w:hAnsi="方正仿宋_GBK" w:cs="方正仿宋_GBK"/>
          <w:color w:val="000000"/>
          <w:sz w:val="28"/>
        </w:rPr>
        <w:t xml:space="preserve"> </w:t>
      </w:r>
    </w:p>
    <w:p>
      <w:pPr>
        <w:spacing w:before="0" w:after="0"/>
        <w:ind w:firstLine="560"/>
        <w:jc w:val="left"/>
        <w:outlineLvl w:val="3"/>
      </w:pPr>
      <w:bookmarkStart w:id="5" w:name="_Toc_4_4_0000000006"/>
      <w:r>
        <w:rPr>
          <w:rFonts w:ascii="方正仿宋_GBK" w:eastAsia="方正仿宋_GBK" w:hAnsi="方正仿宋_GBK" w:cs="方正仿宋_GBK"/>
          <w:color w:val="000000"/>
          <w:sz w:val="28"/>
        </w:rPr>
        <w:t xml:space="preserve">3.政府购买印章刻制服务费绩效目标表</w:t>
      </w:r>
      <w:bookmarkEnd w:id="5"/>
    </w:p>
    <w:tbl>
      <w:tblPr>
        <w:tblStyle w:val="TableNormal"/>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jc w:val="center"/>
        </w:trPr>
        <w:tc>
          <w:tcPr>
            <w:tcW w:w="8050" w:type="dxa"/>
            <w:hMerge w:val="restart"/>
            <w:tcBorders>
              <w:top w:val="single" w:sz="6" w:space="0" w:color="FFFFFF"/>
              <w:left w:val="single" w:sz="6" w:space="0" w:color="FFFFFF"/>
              <w:right w:val="single" w:sz="6" w:space="0" w:color="FFFFFF"/>
            </w:tcBorders>
            <w:vAlign w:val="center"/>
          </w:tcPr>
          <w:p>
            <w:pPr>
              <w:pStyle w:val="单元格样式5"/>
            </w:pPr>
            <w:r>
              <w:t xml:space="preserve">202001顺平县行政审批局（本级）</w:t>
            </w: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0" w:type="auto"/>
            <w:hMerge/>
            <w:tcBorders>
              <w:top w:val="single" w:sz="6" w:space="0" w:color="FFFFFF"/>
              <w:left w:val="single" w:sz="6" w:space="0" w:color="FFFFFF"/>
              <w:right w:val="single" w:sz="6" w:space="0" w:color="FFFFFF"/>
            </w:tcBorders>
          </w:tcPr>
          <w:p>
            <w:pPr/>
          </w:p>
        </w:tc>
        <w:tc>
          <w:tcPr>
            <w:tcW w:w="1843" w:type="dxa"/>
            <w:tcBorders>
              <w:top w:val="single" w:sz="6" w:space="0" w:color="FFFFFF"/>
              <w:left w:val="single" w:sz="6" w:space="0" w:color="FFFFFF"/>
              <w:right w:val="single" w:sz="6" w:space="0" w:color="FFFFFF"/>
            </w:tcBorders>
            <w:vAlign w:val="center"/>
          </w:tcPr>
          <w:p>
            <w:pPr>
              <w:pStyle w:val="单元格样式4"/>
            </w:pPr>
            <w:r>
              <w:t xml:space="preserve">单位：元</w:t>
            </w:r>
          </w:p>
        </w:tc>
      </w:tr>
      <w:tr>
        <w:trPr>
          <w:trHeight w:val="369"/>
          <w:jc w:val="center"/>
        </w:trPr>
        <w:tc>
          <w:tcPr>
            <w:tcW w:w="1276" w:type="dxa"/>
            <w:vAlign w:val="center"/>
          </w:tcPr>
          <w:p>
            <w:pPr>
              <w:pStyle w:val="单元格样式1"/>
            </w:pPr>
            <w:r>
              <w:t xml:space="preserve">项目编码</w:t>
            </w:r>
          </w:p>
        </w:tc>
        <w:tc>
          <w:tcPr>
            <w:tcW w:w="2608" w:type="dxa"/>
            <w:hMerge w:val="restart"/>
            <w:vAlign w:val="center"/>
          </w:tcPr>
          <w:p>
            <w:pPr>
              <w:pStyle w:val="单元格样式2"/>
            </w:pPr>
            <w:r>
              <w:t xml:space="preserve">13063622P00DLEU10014Q</w:t>
            </w:r>
          </w:p>
        </w:tc>
        <w:tc>
          <w:tcPr>
            <w:tcW w:w="0" w:type="auto"/>
            <w:hMerge/>
          </w:tcPr>
          <w:p>
            <w:pPr/>
          </w:p>
        </w:tc>
        <w:tc>
          <w:tcPr>
            <w:tcW w:w="1587" w:type="dxa"/>
            <w:vAlign w:val="center"/>
          </w:tcPr>
          <w:p>
            <w:pPr>
              <w:pStyle w:val="单元格样式1"/>
            </w:pPr>
            <w:r>
              <w:t xml:space="preserve">项目名称</w:t>
            </w:r>
          </w:p>
        </w:tc>
        <w:tc>
          <w:tcPr>
            <w:tcW w:w="4422" w:type="dxa"/>
            <w:hMerge w:val="restart"/>
            <w:vAlign w:val="center"/>
          </w:tcPr>
          <w:p>
            <w:pPr>
              <w:pStyle w:val="单元格样式2"/>
            </w:pPr>
            <w:r>
              <w:t xml:space="preserve">政府购买印章刻制服务费</w:t>
            </w: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预算规模及资金用途</w:t>
            </w:r>
          </w:p>
        </w:tc>
        <w:tc>
          <w:tcPr>
            <w:tcW w:w="1276" w:type="dxa"/>
            <w:vAlign w:val="center"/>
          </w:tcPr>
          <w:p>
            <w:pPr>
              <w:pStyle w:val="单元格样式1"/>
            </w:pPr>
            <w:r>
              <w:t xml:space="preserve">预算数</w:t>
            </w:r>
          </w:p>
        </w:tc>
        <w:tc>
          <w:tcPr>
            <w:tcW w:w="1332" w:type="dxa"/>
            <w:vAlign w:val="center"/>
          </w:tcPr>
          <w:p>
            <w:pPr>
              <w:pStyle w:val="单元格样式2"/>
            </w:pPr>
            <w:r>
              <w:t xml:space="preserve">10000.00</w:t>
            </w:r>
          </w:p>
        </w:tc>
        <w:tc>
          <w:tcPr>
            <w:tcW w:w="1587" w:type="dxa"/>
            <w:vAlign w:val="center"/>
          </w:tcPr>
          <w:p>
            <w:pPr>
              <w:pStyle w:val="单元格样式1"/>
            </w:pPr>
            <w:r>
              <w:t xml:space="preserve">其中：财政    资金</w:t>
            </w:r>
          </w:p>
        </w:tc>
        <w:tc>
          <w:tcPr>
            <w:tcW w:w="1304" w:type="dxa"/>
            <w:vAlign w:val="center"/>
          </w:tcPr>
          <w:p>
            <w:pPr>
              <w:pStyle w:val="单元格样式2"/>
            </w:pPr>
            <w:r>
              <w:t xml:space="preserve">10000.00</w:t>
            </w:r>
          </w:p>
        </w:tc>
        <w:tc>
          <w:tcPr>
            <w:tcW w:w="1276" w:type="dxa"/>
            <w:vAlign w:val="center"/>
          </w:tcPr>
          <w:p>
            <w:pPr>
              <w:pStyle w:val="单元格样式1"/>
            </w:pPr>
            <w:r>
              <w:t xml:space="preserve">其他资金</w:t>
            </w:r>
          </w:p>
        </w:tc>
        <w:tc>
          <w:tcPr>
            <w:tcW w:w="1843" w:type="dxa"/>
            <w:vAlign w:val="center"/>
          </w:tcPr>
          <w:p>
            <w:pPr>
              <w:pStyle w:val="单元格样式2"/>
            </w:pPr>
            <w:r>
              <w:t xml:space="preserve"> </w:t>
            </w:r>
          </w:p>
        </w:tc>
      </w:tr>
      <w:tr>
        <w:trPr>
          <w:trHeight w:val="369"/>
          <w:jc w:val="center"/>
        </w:trPr>
        <w:tc>
          <w:tcPr>
            <w:tcW w:w="1276" w:type="dxa"/>
            <w:vMerge/>
          </w:tcPr>
          <w:p>
            <w:pPr/>
          </w:p>
        </w:tc>
        <w:tc>
          <w:tcPr>
            <w:tcW w:w="8617" w:type="dxa"/>
            <w:hMerge w:val="restart"/>
            <w:vAlign w:val="center"/>
          </w:tcPr>
          <w:p>
            <w:pPr>
              <w:pStyle w:val="单元格样式2"/>
            </w:pPr>
            <w:r>
              <w:t xml:space="preserve">政府购买印章刻制服务费</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r>
        <w:trPr>
          <w:trHeight w:val="369"/>
          <w:jc w:val="center"/>
        </w:trPr>
        <w:tc>
          <w:tcPr>
            <w:tcW w:w="1276" w:type="dxa"/>
            <w:vMerge w:val="restart"/>
            <w:vAlign w:val="center"/>
          </w:tcPr>
          <w:p>
            <w:pPr>
              <w:pStyle w:val="单元格样式1"/>
            </w:pPr>
            <w:r>
              <w:t xml:space="preserve">资金支出计划（%）</w:t>
            </w:r>
          </w:p>
        </w:tc>
        <w:tc>
          <w:tcPr>
            <w:tcW w:w="2608" w:type="dxa"/>
            <w:hMerge w:val="restart"/>
            <w:vAlign w:val="center"/>
          </w:tcPr>
          <w:p>
            <w:pPr>
              <w:pStyle w:val="单元格样式1"/>
            </w:pPr>
            <w:r>
              <w:t xml:space="preserve">3月底</w:t>
            </w:r>
          </w:p>
        </w:tc>
        <w:tc>
          <w:tcPr>
            <w:tcW w:w="0" w:type="auto"/>
            <w:hMerge/>
          </w:tcPr>
          <w:p>
            <w:pPr/>
          </w:p>
        </w:tc>
        <w:tc>
          <w:tcPr>
            <w:tcW w:w="1587" w:type="dxa"/>
            <w:vAlign w:val="center"/>
          </w:tcPr>
          <w:p>
            <w:pPr>
              <w:pStyle w:val="单元格样式1"/>
            </w:pPr>
            <w:r>
              <w:t xml:space="preserve">6月底</w:t>
            </w:r>
          </w:p>
        </w:tc>
        <w:tc>
          <w:tcPr>
            <w:tcW w:w="1304" w:type="dxa"/>
            <w:vAlign w:val="center"/>
          </w:tcPr>
          <w:p>
            <w:pPr>
              <w:pStyle w:val="单元格样式1"/>
            </w:pPr>
            <w:r>
              <w:t xml:space="preserve">10月底</w:t>
            </w:r>
          </w:p>
        </w:tc>
        <w:tc>
          <w:tcPr>
            <w:tcW w:w="3118" w:type="dxa"/>
            <w:hMerge w:val="restart"/>
            <w:vAlign w:val="center"/>
          </w:tcPr>
          <w:p>
            <w:pPr>
              <w:pStyle w:val="单元格样式1"/>
            </w:pPr>
            <w:r>
              <w:t xml:space="preserve">12月底</w:t>
            </w:r>
          </w:p>
        </w:tc>
        <w:tc>
          <w:tcPr>
            <w:tcW w:w="0" w:type="auto"/>
            <w:hMerge/>
          </w:tcPr>
          <w:p>
            <w:pPr/>
          </w:p>
        </w:tc>
      </w:tr>
      <w:tr>
        <w:trPr>
          <w:trHeight w:val="369"/>
          <w:jc w:val="center"/>
        </w:trPr>
        <w:tc>
          <w:tcPr>
            <w:tcW w:w="1276" w:type="dxa"/>
            <w:vMerge/>
          </w:tcPr>
          <w:p>
            <w:pPr/>
          </w:p>
        </w:tc>
        <w:tc>
          <w:tcPr>
            <w:tcW w:w="2608" w:type="dxa"/>
            <w:hMerge w:val="restart"/>
            <w:vAlign w:val="center"/>
          </w:tcPr>
          <w:p>
            <w:pPr>
              <w:pStyle w:val="单元格样式3"/>
            </w:pPr>
            <w:r>
              <w:t xml:space="preserve"> </w:t>
            </w:r>
          </w:p>
        </w:tc>
        <w:tc>
          <w:tcPr>
            <w:tcW w:w="0" w:type="auto"/>
            <w:hMerge/>
          </w:tcPr>
          <w:p>
            <w:pPr/>
          </w:p>
        </w:tc>
        <w:tc>
          <w:tcPr>
            <w:tcW w:w="1587" w:type="dxa"/>
            <w:vAlign w:val="center"/>
          </w:tcPr>
          <w:p>
            <w:pPr>
              <w:pStyle w:val="单元格样式3"/>
            </w:pPr>
            <w:r>
              <w:t xml:space="preserve">100%</w:t>
            </w:r>
          </w:p>
        </w:tc>
        <w:tc>
          <w:tcPr>
            <w:tcW w:w="1304" w:type="dxa"/>
            <w:vAlign w:val="center"/>
          </w:tcPr>
          <w:p>
            <w:pPr>
              <w:pStyle w:val="单元格样式3"/>
            </w:pPr>
            <w:r>
              <w:t xml:space="preserve"> </w:t>
            </w:r>
          </w:p>
        </w:tc>
        <w:tc>
          <w:tcPr>
            <w:tcW w:w="3118" w:type="dxa"/>
            <w:hMerge w:val="restart"/>
            <w:vAlign w:val="center"/>
          </w:tcPr>
          <w:p>
            <w:pPr>
              <w:pStyle w:val="单元格样式3"/>
            </w:pPr>
            <w:r>
              <w:t xml:space="preserve"> </w:t>
            </w:r>
          </w:p>
        </w:tc>
        <w:tc>
          <w:tcPr>
            <w:tcW w:w="0" w:type="auto"/>
            <w:hMerge/>
          </w:tcPr>
          <w:p>
            <w:pPr/>
          </w:p>
        </w:tc>
      </w:tr>
      <w:tr>
        <w:trPr>
          <w:trHeight w:val="369"/>
          <w:jc w:val="center"/>
        </w:trPr>
        <w:tc>
          <w:tcPr>
            <w:tcW w:w="1276" w:type="dxa"/>
            <w:vAlign w:val="center"/>
          </w:tcPr>
          <w:p>
            <w:pPr>
              <w:pStyle w:val="单元格样式1"/>
            </w:pPr>
            <w:r>
              <w:t xml:space="preserve">绩效目标</w:t>
            </w:r>
          </w:p>
        </w:tc>
        <w:tc>
          <w:tcPr>
            <w:tcW w:w="8617" w:type="dxa"/>
            <w:hMerge w:val="restart"/>
            <w:vAlign w:val="center"/>
          </w:tcPr>
          <w:p>
            <w:pPr>
              <w:pStyle w:val="单元格样式2"/>
            </w:pPr>
            <w:r>
              <w:t xml:space="preserve">1.通过提高企业开办便利度，降低企业开办成本，进一步优化全县营商环境。</w:t>
            </w:r>
          </w:p>
        </w:tc>
        <w:tc>
          <w:tcPr>
            <w:tcW w:w="0" w:type="auto"/>
            <w:hMerge/>
          </w:tcPr>
          <w:p>
            <w:pPr/>
          </w:p>
        </w:tc>
        <w:tc>
          <w:tcPr>
            <w:tcW w:w="0" w:type="auto"/>
            <w:hMerge/>
          </w:tcPr>
          <w:p>
            <w:pPr/>
          </w:p>
        </w:tc>
        <w:tc>
          <w:tcPr>
            <w:tcW w:w="0" w:type="auto"/>
            <w:hMerge/>
          </w:tcPr>
          <w:p>
            <w:pPr/>
          </w:p>
        </w:tc>
        <w:tc>
          <w:tcPr>
            <w:tcW w:w="0" w:type="auto"/>
            <w:hMerge/>
          </w:tcPr>
          <w:p>
            <w:pPr/>
          </w:p>
        </w:tc>
        <w:tc>
          <w:tcPr>
            <w:tcW w:w="0" w:type="auto"/>
            <w:hMerge/>
          </w:tcPr>
          <w:p>
            <w:pPr/>
          </w:p>
        </w:tc>
      </w:tr>
    </w:tbl>
    <w:p>
      <w:pPr>
        <w:spacing w:before="0" w:after="0" w:line="2" w:lineRule="exact"/>
        <w:ind w:firstLine="0"/>
        <w:jc w:val="center"/>
        <w:outlineLvl w:val="9"/>
      </w:pPr>
      <w:r>
        <w:rPr>
          <w:rFonts w:ascii="方正书宋_GBK" w:eastAsia="方正书宋_GBK" w:hAnsi="方正书宋_GBK" w:cs="方正书宋_GBK"/>
          <w:color w:val="000000"/>
          <w:sz w:val="21"/>
        </w:rPr>
        <w:t xml:space="preserve"> </w:t>
      </w:r>
    </w:p>
    <w:tbl>
      <w:tblPr>
        <w:tblStyle w:val="TableNormal"/>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327"/>
        <w:gridCol w:w="1327"/>
        <w:gridCol w:w="1327"/>
        <w:gridCol w:w="1327"/>
        <w:gridCol w:w="1327"/>
        <w:gridCol w:w="1327"/>
        <w:gridCol w:w="1327"/>
      </w:tblGrid>
      <w:tr>
        <w:trPr>
          <w:trHeight w:val="397"/>
          <w:tblHeader/>
          <w:jc w:val="center"/>
        </w:trPr>
        <w:tc>
          <w:tcPr>
            <w:tcW w:w="1276" w:type="dxa"/>
            <w:vAlign w:val="center"/>
          </w:tcPr>
          <w:p>
            <w:pPr>
              <w:pStyle w:val="单元格样式1"/>
            </w:pPr>
            <w:r>
              <w:t xml:space="preserve">一级指标</w:t>
            </w:r>
          </w:p>
        </w:tc>
        <w:tc>
          <w:tcPr>
            <w:tcW w:w="1276" w:type="dxa"/>
            <w:vAlign w:val="center"/>
          </w:tcPr>
          <w:p>
            <w:pPr>
              <w:pStyle w:val="单元格样式1"/>
            </w:pPr>
            <w:r>
              <w:t xml:space="preserve">二级指标</w:t>
            </w:r>
          </w:p>
        </w:tc>
        <w:tc>
          <w:tcPr>
            <w:tcW w:w="1332" w:type="dxa"/>
            <w:vAlign w:val="center"/>
          </w:tcPr>
          <w:p>
            <w:pPr>
              <w:pStyle w:val="单元格样式1"/>
            </w:pPr>
            <w:r>
              <w:t xml:space="preserve">三级指标</w:t>
            </w:r>
          </w:p>
        </w:tc>
        <w:tc>
          <w:tcPr>
            <w:tcW w:w="2891" w:type="dxa"/>
            <w:hMerge w:val="restart"/>
            <w:vAlign w:val="center"/>
          </w:tcPr>
          <w:p>
            <w:pPr>
              <w:pStyle w:val="单元格样式1"/>
            </w:pPr>
            <w:r>
              <w:t xml:space="preserve">绩效指标描述</w:t>
            </w:r>
          </w:p>
        </w:tc>
        <w:tc>
          <w:tcPr>
            <w:tcW w:w="0" w:type="auto"/>
            <w:hMerge/>
          </w:tcPr>
          <w:p>
            <w:pPr/>
          </w:p>
        </w:tc>
        <w:tc>
          <w:tcPr>
            <w:tcW w:w="1276" w:type="dxa"/>
            <w:vAlign w:val="center"/>
          </w:tcPr>
          <w:p>
            <w:pPr>
              <w:pStyle w:val="单元格样式1"/>
            </w:pPr>
            <w:r>
              <w:t xml:space="preserve">指标值</w:t>
            </w:r>
          </w:p>
        </w:tc>
        <w:tc>
          <w:tcPr>
            <w:tcW w:w="1843" w:type="dxa"/>
            <w:vAlign w:val="center"/>
          </w:tcPr>
          <w:p>
            <w:pPr>
              <w:pStyle w:val="单元格样式1"/>
            </w:pPr>
            <w:r>
              <w:t xml:space="preserve">指标值确定依据</w:t>
            </w:r>
          </w:p>
        </w:tc>
      </w:tr>
      <w:tr>
        <w:trPr>
          <w:trHeight w:val="369"/>
          <w:jc w:val="center"/>
        </w:trPr>
        <w:tc>
          <w:tcPr>
            <w:tcW w:w="1276" w:type="dxa"/>
            <w:vMerge w:val="restart"/>
            <w:vAlign w:val="center"/>
          </w:tcPr>
          <w:p>
            <w:pPr>
              <w:pStyle w:val="单元格样式3"/>
            </w:pPr>
            <w:r>
              <w:t xml:space="preserve">产出指标</w:t>
            </w:r>
          </w:p>
        </w:tc>
        <w:tc>
          <w:tcPr>
            <w:tcW w:w="1276" w:type="dxa"/>
            <w:vAlign w:val="center"/>
          </w:tcPr>
          <w:p>
            <w:pPr>
              <w:pStyle w:val="单元格样式2"/>
            </w:pPr>
            <w:r>
              <w:t xml:space="preserve">数量指标</w:t>
            </w:r>
          </w:p>
        </w:tc>
        <w:tc>
          <w:tcPr>
            <w:tcW w:w="1332" w:type="dxa"/>
            <w:vAlign w:val="center"/>
          </w:tcPr>
          <w:p>
            <w:pPr>
              <w:pStyle w:val="单元格样式2"/>
            </w:pPr>
            <w:r>
              <w:t xml:space="preserve">新开办企业首套基础公章数量</w:t>
            </w:r>
          </w:p>
        </w:tc>
        <w:tc>
          <w:tcPr>
            <w:tcW w:w="2891" w:type="dxa"/>
            <w:hMerge w:val="restart"/>
            <w:vAlign w:val="center"/>
          </w:tcPr>
          <w:p>
            <w:pPr>
              <w:pStyle w:val="单元格样式2"/>
            </w:pPr>
            <w:r>
              <w:t xml:space="preserve">企业公章、财务专用章、发票专用章</w:t>
            </w:r>
          </w:p>
        </w:tc>
        <w:tc>
          <w:tcPr>
            <w:tcW w:w="0" w:type="auto"/>
            <w:hMerge/>
            <w:vAlign w:val="center"/>
          </w:tcPr>
          <w:p>
            <w:pPr/>
          </w:p>
        </w:tc>
        <w:tc>
          <w:tcPr>
            <w:tcW w:w="1276" w:type="dxa"/>
            <w:vAlign w:val="center"/>
          </w:tcPr>
          <w:p>
            <w:pPr>
              <w:pStyle w:val="单元格样式2"/>
            </w:pPr>
            <w:r>
              <w:t xml:space="preserve">3枚</w:t>
            </w:r>
          </w:p>
        </w:tc>
        <w:tc>
          <w:tcPr>
            <w:tcW w:w="1843" w:type="dxa"/>
            <w:vAlign w:val="center"/>
          </w:tcPr>
          <w:p>
            <w:pPr>
              <w:pStyle w:val="单元格样式2"/>
            </w:pPr>
            <w:r>
              <w:t xml:space="preserve">合同</w:t>
            </w:r>
          </w:p>
        </w:tc>
      </w:tr>
      <w:tr>
        <w:trPr>
          <w:trHeight w:val="369"/>
          <w:jc w:val="center"/>
        </w:trPr>
        <w:tc>
          <w:tcPr>
            <w:tcW w:w="1276" w:type="dxa"/>
            <w:vMerge/>
            <w:vAlign w:val="center"/>
          </w:tcPr>
          <w:p>
            <w:pPr/>
          </w:p>
        </w:tc>
        <w:tc>
          <w:tcPr>
            <w:tcW w:w="1276" w:type="dxa"/>
            <w:vAlign w:val="center"/>
          </w:tcPr>
          <w:p>
            <w:pPr>
              <w:pStyle w:val="单元格样式2"/>
            </w:pPr>
            <w:r>
              <w:t xml:space="preserve">质量指标</w:t>
            </w:r>
          </w:p>
        </w:tc>
        <w:tc>
          <w:tcPr>
            <w:tcW w:w="1332" w:type="dxa"/>
            <w:vAlign w:val="center"/>
          </w:tcPr>
          <w:p>
            <w:pPr>
              <w:pStyle w:val="单元格样式2"/>
            </w:pPr>
            <w:r>
              <w:t xml:space="preserve">印章质量达标率</w:t>
            </w:r>
          </w:p>
        </w:tc>
        <w:tc>
          <w:tcPr>
            <w:tcW w:w="2891" w:type="dxa"/>
            <w:hMerge w:val="restart"/>
            <w:vAlign w:val="center"/>
          </w:tcPr>
          <w:p>
            <w:pPr>
              <w:pStyle w:val="单元格样式2"/>
            </w:pPr>
            <w:r>
              <w:t xml:space="preserve">印章质量合格</w:t>
            </w:r>
          </w:p>
        </w:tc>
        <w:tc>
          <w:tcPr>
            <w:tcW w:w="0" w:type="auto"/>
            <w:hMerge/>
            <w:vAlign w:val="center"/>
          </w:tcPr>
          <w:p>
            <w:pPr/>
          </w:p>
        </w:tc>
        <w:tc>
          <w:tcPr>
            <w:tcW w:w="1276" w:type="dxa"/>
            <w:vAlign w:val="center"/>
          </w:tcPr>
          <w:p>
            <w:pPr>
              <w:pStyle w:val="单元格样式2"/>
            </w:pPr>
            <w:r>
              <w:t xml:space="preserve">100百分比</w:t>
            </w:r>
          </w:p>
        </w:tc>
        <w:tc>
          <w:tcPr>
            <w:tcW w:w="1843" w:type="dxa"/>
            <w:vAlign w:val="center"/>
          </w:tcPr>
          <w:p>
            <w:pPr>
              <w:pStyle w:val="单元格样式2"/>
            </w:pPr>
            <w:r>
              <w:t xml:space="preserve">合同</w:t>
            </w:r>
          </w:p>
        </w:tc>
      </w:tr>
      <w:tr>
        <w:trPr>
          <w:trHeight w:val="369"/>
          <w:jc w:val="center"/>
        </w:trPr>
        <w:tc>
          <w:tcPr>
            <w:tcW w:w="1276" w:type="dxa"/>
            <w:vMerge/>
            <w:vAlign w:val="center"/>
          </w:tcPr>
          <w:p>
            <w:pPr/>
          </w:p>
        </w:tc>
        <w:tc>
          <w:tcPr>
            <w:tcW w:w="1276" w:type="dxa"/>
            <w:vAlign w:val="center"/>
          </w:tcPr>
          <w:p>
            <w:pPr>
              <w:pStyle w:val="单元格样式2"/>
            </w:pPr>
            <w:r>
              <w:t xml:space="preserve">时效指标</w:t>
            </w:r>
          </w:p>
        </w:tc>
        <w:tc>
          <w:tcPr>
            <w:tcW w:w="1332" w:type="dxa"/>
            <w:vAlign w:val="center"/>
          </w:tcPr>
          <w:p>
            <w:pPr>
              <w:pStyle w:val="单元格样式2"/>
            </w:pPr>
            <w:r>
              <w:t xml:space="preserve">印章刻制及时性</w:t>
            </w:r>
          </w:p>
        </w:tc>
        <w:tc>
          <w:tcPr>
            <w:tcW w:w="2891" w:type="dxa"/>
            <w:hMerge w:val="restart"/>
            <w:vAlign w:val="center"/>
          </w:tcPr>
          <w:p>
            <w:pPr>
              <w:pStyle w:val="单元格样式2"/>
            </w:pPr>
            <w:r>
              <w:t xml:space="preserve">印章刻制及时性</w:t>
            </w:r>
          </w:p>
        </w:tc>
        <w:tc>
          <w:tcPr>
            <w:tcW w:w="0" w:type="auto"/>
            <w:hMerge/>
            <w:vAlign w:val="center"/>
          </w:tcPr>
          <w:p>
            <w:pPr/>
          </w:p>
        </w:tc>
        <w:tc>
          <w:tcPr>
            <w:tcW w:w="1276" w:type="dxa"/>
            <w:vAlign w:val="center"/>
          </w:tcPr>
          <w:p>
            <w:pPr>
              <w:pStyle w:val="单元格样式2"/>
            </w:pPr>
            <w:r>
              <w:t xml:space="preserve">100百分比</w:t>
            </w:r>
          </w:p>
        </w:tc>
        <w:tc>
          <w:tcPr>
            <w:tcW w:w="1843" w:type="dxa"/>
            <w:vAlign w:val="center"/>
          </w:tcPr>
          <w:p>
            <w:pPr>
              <w:pStyle w:val="单元格样式2"/>
            </w:pPr>
            <w:r>
              <w:t xml:space="preserve">合同</w:t>
            </w:r>
          </w:p>
        </w:tc>
      </w:tr>
      <w:tr>
        <w:trPr>
          <w:trHeight w:val="369"/>
          <w:jc w:val="center"/>
        </w:trPr>
        <w:tc>
          <w:tcPr>
            <w:tcW w:w="1276" w:type="dxa"/>
            <w:vMerge/>
            <w:vAlign w:val="center"/>
          </w:tcPr>
          <w:p>
            <w:pPr/>
          </w:p>
        </w:tc>
        <w:tc>
          <w:tcPr>
            <w:tcW w:w="1276" w:type="dxa"/>
            <w:vAlign w:val="center"/>
          </w:tcPr>
          <w:p>
            <w:pPr>
              <w:pStyle w:val="单元格样式2"/>
            </w:pPr>
            <w:r>
              <w:t xml:space="preserve">成本指标</w:t>
            </w:r>
          </w:p>
        </w:tc>
        <w:tc>
          <w:tcPr>
            <w:tcW w:w="1332" w:type="dxa"/>
            <w:vAlign w:val="center"/>
          </w:tcPr>
          <w:p>
            <w:pPr>
              <w:pStyle w:val="单元格样式2"/>
            </w:pPr>
            <w:r>
              <w:t xml:space="preserve">新开办企业印章</w:t>
            </w:r>
          </w:p>
        </w:tc>
        <w:tc>
          <w:tcPr>
            <w:tcW w:w="2891" w:type="dxa"/>
            <w:hMerge w:val="restart"/>
            <w:vAlign w:val="center"/>
          </w:tcPr>
          <w:p>
            <w:pPr>
              <w:pStyle w:val="单元格样式2"/>
            </w:pPr>
            <w:r>
              <w:t xml:space="preserve">新开办企业印章</w:t>
            </w:r>
          </w:p>
        </w:tc>
        <w:tc>
          <w:tcPr>
            <w:tcW w:w="0" w:type="auto"/>
            <w:hMerge/>
            <w:vAlign w:val="center"/>
          </w:tcPr>
          <w:p>
            <w:pPr/>
          </w:p>
        </w:tc>
        <w:tc>
          <w:tcPr>
            <w:tcW w:w="1276" w:type="dxa"/>
            <w:vAlign w:val="center"/>
          </w:tcPr>
          <w:p>
            <w:pPr>
              <w:pStyle w:val="单元格样式2"/>
            </w:pPr>
            <w:r>
              <w:t xml:space="preserve">471元/套</w:t>
            </w:r>
          </w:p>
        </w:tc>
        <w:tc>
          <w:tcPr>
            <w:tcW w:w="1843" w:type="dxa"/>
            <w:vAlign w:val="center"/>
          </w:tcPr>
          <w:p>
            <w:pPr>
              <w:pStyle w:val="单元格样式2"/>
            </w:pPr>
            <w:r>
              <w:t xml:space="preserve">合同</w:t>
            </w:r>
          </w:p>
        </w:tc>
      </w:tr>
      <w:tr>
        <w:trPr>
          <w:trHeight w:val="369"/>
          <w:jc w:val="center"/>
        </w:trPr>
        <w:tc>
          <w:tcPr>
            <w:tcW w:w="1276" w:type="dxa"/>
            <w:vAlign w:val="center"/>
          </w:tcPr>
          <w:p>
            <w:pPr>
              <w:pStyle w:val="单元格样式3"/>
            </w:pPr>
            <w:r>
              <w:t xml:space="preserve">效益指标</w:t>
            </w:r>
          </w:p>
        </w:tc>
        <w:tc>
          <w:tcPr>
            <w:tcW w:w="1276" w:type="dxa"/>
            <w:vAlign w:val="center"/>
          </w:tcPr>
          <w:p>
            <w:pPr>
              <w:pStyle w:val="单元格样式2"/>
            </w:pPr>
            <w:r>
              <w:t xml:space="preserve">社会效益指标</w:t>
            </w:r>
          </w:p>
        </w:tc>
        <w:tc>
          <w:tcPr>
            <w:tcW w:w="1332" w:type="dxa"/>
            <w:vAlign w:val="center"/>
          </w:tcPr>
          <w:p>
            <w:pPr>
              <w:pStyle w:val="单元格样式2"/>
            </w:pPr>
            <w:r>
              <w:t xml:space="preserve">优化营商环境</w:t>
            </w:r>
          </w:p>
        </w:tc>
        <w:tc>
          <w:tcPr>
            <w:tcW w:w="2891" w:type="dxa"/>
            <w:hMerge w:val="restart"/>
            <w:vAlign w:val="center"/>
          </w:tcPr>
          <w:p>
            <w:pPr>
              <w:pStyle w:val="单元格样式2"/>
            </w:pPr>
            <w:r>
              <w:t xml:space="preserve">优化营商环境</w:t>
            </w:r>
          </w:p>
        </w:tc>
        <w:tc>
          <w:tcPr>
            <w:tcW w:w="0" w:type="auto"/>
            <w:hMerge/>
            <w:vAlign w:val="center"/>
          </w:tcPr>
          <w:p>
            <w:pPr/>
          </w:p>
        </w:tc>
        <w:tc>
          <w:tcPr>
            <w:tcW w:w="1276" w:type="dxa"/>
            <w:vAlign w:val="center"/>
          </w:tcPr>
          <w:p>
            <w:pPr>
              <w:pStyle w:val="单元格样式2"/>
            </w:pPr>
            <w:r>
              <w:t xml:space="preserve">100百分比</w:t>
            </w:r>
          </w:p>
        </w:tc>
        <w:tc>
          <w:tcPr>
            <w:tcW w:w="1843" w:type="dxa"/>
            <w:vAlign w:val="center"/>
          </w:tcPr>
          <w:p>
            <w:pPr>
              <w:pStyle w:val="单元格样式2"/>
            </w:pPr>
            <w:r>
              <w:t xml:space="preserve">合同</w:t>
            </w:r>
          </w:p>
        </w:tc>
      </w:tr>
      <w:tr>
        <w:trPr>
          <w:trHeight w:val="369"/>
          <w:jc w:val="center"/>
        </w:trPr>
        <w:tc>
          <w:tcPr>
            <w:tcW w:w="1276" w:type="dxa"/>
            <w:vAlign w:val="center"/>
          </w:tcPr>
          <w:p>
            <w:pPr>
              <w:pStyle w:val="单元格样式3"/>
            </w:pPr>
            <w:r>
              <w:t xml:space="preserve">满意度指标</w:t>
            </w:r>
          </w:p>
        </w:tc>
        <w:tc>
          <w:tcPr>
            <w:tcW w:w="1276" w:type="dxa"/>
            <w:vAlign w:val="center"/>
          </w:tcPr>
          <w:p>
            <w:pPr>
              <w:pStyle w:val="单元格样式2"/>
            </w:pPr>
            <w:r>
              <w:t xml:space="preserve">服务对象满意度指标</w:t>
            </w:r>
          </w:p>
        </w:tc>
        <w:tc>
          <w:tcPr>
            <w:tcW w:w="1332" w:type="dxa"/>
            <w:vAlign w:val="center"/>
          </w:tcPr>
          <w:p>
            <w:pPr>
              <w:pStyle w:val="单元格样式2"/>
            </w:pPr>
            <w:r>
              <w:t xml:space="preserve">服务对象满意度</w:t>
            </w:r>
          </w:p>
        </w:tc>
        <w:tc>
          <w:tcPr>
            <w:tcW w:w="2891" w:type="dxa"/>
            <w:hMerge w:val="restart"/>
            <w:vAlign w:val="center"/>
          </w:tcPr>
          <w:p>
            <w:pPr>
              <w:pStyle w:val="单元格样式2"/>
            </w:pPr>
            <w:r>
              <w:t xml:space="preserve">群众、企业满意率</w:t>
            </w:r>
          </w:p>
        </w:tc>
        <w:tc>
          <w:tcPr>
            <w:tcW w:w="0" w:type="auto"/>
            <w:hMerge/>
            <w:vAlign w:val="center"/>
          </w:tcPr>
          <w:p>
            <w:pPr/>
          </w:p>
        </w:tc>
        <w:tc>
          <w:tcPr>
            <w:tcW w:w="1276" w:type="dxa"/>
            <w:vAlign w:val="center"/>
          </w:tcPr>
          <w:p>
            <w:pPr>
              <w:pStyle w:val="单元格样式2"/>
            </w:pPr>
            <w:r>
              <w:t xml:space="preserve">≥98百分比</w:t>
            </w:r>
          </w:p>
        </w:tc>
        <w:tc>
          <w:tcPr>
            <w:tcW w:w="1843" w:type="dxa"/>
            <w:vAlign w:val="center"/>
          </w:tcPr>
          <w:p>
            <w:pPr>
              <w:pStyle w:val="单元格样式2"/>
            </w:pPr>
            <w:r>
              <w:t xml:space="preserve">合同</w:t>
            </w:r>
          </w:p>
        </w:tc>
      </w:tr>
    </w:tbl>
    <w:p>
      <w:pPr/>
    </w:p>
    <w:sectPr>
      <w:type w:val="nextPage"/>
      <w:pgSz w:w="11900" w:h="16840" w:orient="portrait"/>
      <w:pgMar w:top="1984" w:right="1304" w:bottom="1134" w:left="1304" w:header="720" w:footer="720" w:gutter="0"/>
    </w:sectPr>
  </w:body>
</w:document>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jc w:val="left"/>
    </w:pPr>
    <w:r>
      <w:fldChar w:fldCharType="begin"/>
    </w:r>
    <w:r>
      <w:instrText xml:space="preserve">PAGE "page number"</w:instrText>
    </w:r>
    <w:r>
      <w:fldChar w:fldCharType="separate"/>
    </w:r>
    <w:r>
      <w:t xml:space="preserve">page number</w:t>
    </w:r>
    <w:r>
      <w:fldChar w:fldCharType="end"/>
    </w: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jc w:val="right"/>
    </w:pPr>
    <w:r>
      <w:fldChar w:fldCharType="begin"/>
    </w:r>
    <w:r>
      <w:instrText xml:space="preserve">PAGE "page number"</w:instrText>
    </w:r>
    <w:r>
      <w:fldChar w:fldCharType="separate"/>
    </w:r>
    <w:r>
      <w:t xml:space="preserve">page number</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3">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4">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5">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6">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7">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8">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9">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1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bordersDoNotSurroundFooter w:val="0"/>
  <w:bordersDoNotSurroundHeader w:val="0"/>
  <w:doNotTrackMoves/>
  <w:defaultTabStop w:val="720"/>
  <w:evenAndOddHeaders/>
  <w:characterSpacingControl w:val="doNotCompress"/>
  <w:compat>
    <w:doNotLeaveBackslashAlone/>
    <w:doNotExpandShiftReturn/>
    <w:adjustLineHeightInTable/>
    <w:useFELayou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sz w:val="24"/>
      <w:szCs w:val="24"/>
      <w:lang w:val="en-US" w:eastAsia="uk-UA" w:bidi="ar-SA"/>
    </w:rPr>
  </w:style>
  <w:style w:type="paragraph" w:styleId="插入文本样式-插入总体目标文件">
    <w:name w:val="插入文本样式-插入总体目标文件"/>
    <w:basedOn w:val="Normal"/>
    <w:qFormat/>
    <w:pPr>
      <w:spacing w:before="0" w:after="0" w:line="500" w:lineRule="exact"/>
      <w:ind w:firstLine="560"/>
      <w:jc w:val="left"/>
      <w:outlineLvl w:val="9"/>
    </w:pPr>
    <w:rPr>
      <w:rFonts w:ascii="Times New Roman" w:eastAsia="方正仿宋_GBK" w:hAnsi="Times New Roman" w:cs="Times New Roman"/>
      <w:b w:val="0"/>
      <w:sz w:val="28"/>
    </w:rPr>
  </w:style>
  <w:style w:type="paragraph" w:styleId="插入文本样式-插入职责分类绩效目标文件">
    <w:name w:val="插入文本样式-插入职责分类绩效目标文件"/>
    <w:basedOn w:val="Normal"/>
    <w:qFormat/>
    <w:pPr>
      <w:spacing w:before="0" w:after="0" w:line="500" w:lineRule="exact"/>
      <w:ind w:firstLine="560"/>
      <w:jc w:val="left"/>
      <w:outlineLvl w:val="9"/>
    </w:pPr>
    <w:rPr>
      <w:rFonts w:ascii="Times New Roman" w:eastAsia="方正仿宋_GBK" w:hAnsi="Times New Roman" w:cs="Times New Roman"/>
      <w:b w:val="0"/>
      <w:sz w:val="28"/>
    </w:rPr>
  </w:style>
  <w:style w:type="paragraph" w:styleId="插入文本样式-插入实现年度发展规划目标的保障措施文件">
    <w:name w:val="插入文本样式-插入实现年度发展规划目标的保障措施文件"/>
    <w:basedOn w:val="Normal"/>
    <w:qFormat/>
    <w:pPr>
      <w:spacing w:before="0" w:after="0" w:line="500" w:lineRule="exact"/>
      <w:ind w:firstLine="560"/>
      <w:jc w:val="left"/>
      <w:outlineLvl w:val="9"/>
    </w:pPr>
    <w:rPr>
      <w:rFonts w:ascii="Times New Roman" w:eastAsia="方正仿宋_GBK" w:hAnsi="Times New Roman" w:cs="Times New Roman"/>
      <w:b w:val="0"/>
      <w:sz w:val="28"/>
    </w:rPr>
  </w:style>
  <w:style w:type="table" w:default="1" w:styleId="TableNormal">
    <w:name w:val="Normal Table"/>
    <w:uiPriority w:val="99"/>
    <w:semiHidden/>
    <w:unhideWhenUsed/>
    <w:qFormat/>
    <w:rPr/>
    <w:tblPr>
      <w:tblInd w:w="0" w:type="dxa"/>
      <w:tblCellMar>
        <w:top w:w="0" w:type="dxa"/>
        <w:left w:w="108" w:type="dxa"/>
        <w:bottom w:w="0" w:type="dxa"/>
        <w:right w:w="108" w:type="dxa"/>
      </w:tblCellMar>
    </w:tblPr>
  </w:style>
  <w:style w:type="table" w:styleId="TableGrid">
    <w:name w:val="Table Grid"/>
    <w:basedOn w:val="TableNorm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单元格样式4">
    <w:name w:val="单元格样式4"/>
    <w:basedOn w:val="Normal"/>
    <w:qFormat/>
    <w:pPr>
      <w:spacing w:before="0" w:after="0"/>
      <w:ind w:firstLine="0"/>
      <w:jc w:val="right"/>
      <w:outlineLvl w:val="9"/>
    </w:pPr>
    <w:rPr>
      <w:rFonts w:ascii="方正书宋_GBK" w:eastAsia="方正书宋_GBK" w:hAnsi="方正书宋_GBK" w:cs="方正书宋_GBK"/>
      <w:sz w:val="21"/>
    </w:rPr>
  </w:style>
  <w:style w:type="paragraph" w:styleId="单元格样式5">
    <w:name w:val="单元格样式5"/>
    <w:basedOn w:val="Normal"/>
    <w:qFormat/>
    <w:pPr>
      <w:spacing w:before="0" w:after="0"/>
      <w:ind w:firstLine="0"/>
      <w:jc w:val="left"/>
      <w:outlineLvl w:val="9"/>
    </w:pPr>
    <w:rPr>
      <w:rFonts w:ascii="方正书宋_GBK" w:eastAsia="方正书宋_GBK" w:hAnsi="方正书宋_GBK" w:cs="方正书宋_GBK"/>
      <w:b/>
      <w:sz w:val="21"/>
    </w:rPr>
  </w:style>
  <w:style w:type="paragraph" w:styleId="单元格样式2">
    <w:name w:val="单元格样式2"/>
    <w:basedOn w:val="Normal"/>
    <w:qFormat/>
    <w:pPr>
      <w:spacing w:before="0" w:after="0"/>
      <w:ind w:firstLine="0"/>
      <w:jc w:val="left"/>
      <w:outlineLvl w:val="9"/>
    </w:pPr>
    <w:rPr>
      <w:rFonts w:ascii="方正书宋_GBK" w:eastAsia="方正书宋_GBK" w:hAnsi="方正书宋_GBK" w:cs="方正书宋_GBK"/>
      <w:sz w:val="21"/>
    </w:rPr>
  </w:style>
  <w:style w:type="paragraph" w:styleId="单元格样式1">
    <w:name w:val="单元格样式1"/>
    <w:basedOn w:val="Normal"/>
    <w:qFormat/>
    <w:pPr>
      <w:spacing w:before="0" w:after="0"/>
      <w:ind w:firstLine="0"/>
      <w:jc w:val="center"/>
      <w:outlineLvl w:val="9"/>
    </w:pPr>
    <w:rPr>
      <w:rFonts w:ascii="方正书宋_GBK" w:eastAsia="方正书宋_GBK" w:hAnsi="方正书宋_GBK" w:cs="方正书宋_GBK"/>
      <w:b/>
      <w:sz w:val="21"/>
    </w:rPr>
  </w:style>
  <w:style w:type="paragraph" w:styleId="单元格样式3">
    <w:name w:val="单元格样式3"/>
    <w:basedOn w:val="Normal"/>
    <w:qFormat/>
    <w:pPr>
      <w:spacing w:before="0" w:after="0"/>
      <w:ind w:firstLine="0"/>
      <w:jc w:val="center"/>
      <w:outlineLvl w:val="9"/>
    </w:pPr>
    <w:rPr>
      <w:rFonts w:ascii="方正书宋_GBK" w:eastAsia="方正书宋_GBK" w:hAnsi="方正书宋_GBK" w:cs="方正书宋_GBK"/>
      <w:sz w:val="21"/>
    </w:rPr>
  </w:style>
  <w:style w:type="paragraph" w:styleId="TOC2">
    <w:name w:val="TOC 2"/>
    <w:basedOn w:val="Normal"/>
    <w:qFormat/>
    <w:pPr>
      <w:ind w:left="240"/>
    </w:pPr>
    <w:rPr/>
  </w:style>
  <w:style w:type="paragraph" w:styleId="TOC4">
    <w:name w:val="TOC 4"/>
    <w:basedOn w:val="Normal"/>
    <w:qFormat/>
    <w:pPr>
      <w:ind w:left="720"/>
    </w:pPr>
    <w:rPr/>
  </w:style>
  <w:style w:type="paragraph" w:styleId="TOC1">
    <w:name w:val="TOC 1"/>
    <w:basedOn w:val="Normal"/>
    <w:qFormat/>
    <w:pPr>
      <w:spacing w:before="120" w:line="240"/>
      <w:ind w:firstLine="0"/>
    </w:pPr>
    <w:rPr>
      <w:rFonts w:ascii="Times New Roman" w:eastAsia="方正仿宋_GBK" w:hAnsi="Times New Roman" w:cs="Times New Roman"/>
      <w:color w:val="000000"/>
      <w:sz w:val="28"/>
      <w:lang w:val="en-US"/>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customXml" Target="../customXml/item10.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theme" Target="theme/theme1.xml" /><Relationship Id="rId14" Type="http://schemas.openxmlformats.org/officeDocument/2006/relationships/styles" Target="styles.xml" /><Relationship Id="rId15" Type="http://schemas.openxmlformats.org/officeDocument/2006/relationships/webSettings" Target="webSettings.xml" /><Relationship Id="rId16" Type="http://schemas.openxmlformats.org/officeDocument/2006/relationships/numbering" Target="numbering.xml" /><Relationship Id="rId17"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customXml" Target="../customXml/item4.xml" /><Relationship Id="rId5" Type="http://schemas.openxmlformats.org/officeDocument/2006/relationships/customXml" Target="../customXml/item5.xml" /><Relationship Id="rId6" Type="http://schemas.openxmlformats.org/officeDocument/2006/relationships/customXml" Target="../customXml/item6.xml" /><Relationship Id="rId7" Type="http://schemas.openxmlformats.org/officeDocument/2006/relationships/customXml" Target="../customXml/item7.xml" /><Relationship Id="rId8" Type="http://schemas.openxmlformats.org/officeDocument/2006/relationships/customXml" Target="../customXml/item8.xml" /><Relationship Id="rId9" Type="http://schemas.openxmlformats.org/officeDocument/2006/relationships/customXml" Target="../customXml/item9.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_rels/item4.xml.rels>&#65279;<?xml version="1.0" encoding="utf-8"?><Relationships xmlns="http://schemas.openxmlformats.org/package/2006/relationships"><Relationship Id="rId1" Type="http://schemas.openxmlformats.org/officeDocument/2006/relationships/customXmlProps" Target="itemProps4.xml" /></Relationships>
</file>

<file path=customXml/_rels/item5.xml.rels>&#65279;<?xml version="1.0" encoding="utf-8"?><Relationships xmlns="http://schemas.openxmlformats.org/package/2006/relationships"><Relationship Id="rId1" Type="http://schemas.openxmlformats.org/officeDocument/2006/relationships/customXmlProps" Target="itemProps5.xml" /></Relationships>
</file>

<file path=customXml/_rels/item6.xml.rels>&#65279;<?xml version="1.0" encoding="utf-8"?><Relationships xmlns="http://schemas.openxmlformats.org/package/2006/relationships"><Relationship Id="rId1" Type="http://schemas.openxmlformats.org/officeDocument/2006/relationships/customXmlProps" Target="itemProps6.xml" /></Relationships>
</file>

<file path=customXml/_rels/item7.xml.rels>&#65279;<?xml version="1.0" encoding="utf-8"?><Relationships xmlns="http://schemas.openxmlformats.org/package/2006/relationships"><Relationship Id="rId1" Type="http://schemas.openxmlformats.org/officeDocument/2006/relationships/customXmlProps" Target="itemProps7.xml" /></Relationships>
</file>

<file path=customXml/_rels/item8.xml.rels>&#65279;<?xml version="1.0" encoding="utf-8"?><Relationships xmlns="http://schemas.openxmlformats.org/package/2006/relationships"><Relationship Id="rId1" Type="http://schemas.openxmlformats.org/officeDocument/2006/relationships/customXmlProps" Target="itemProps8.xml" /></Relationships>
</file>

<file path=customXml/_rels/item9.xml.rels>&#65279;<?xml version="1.0" encoding="utf-8"?><Relationships xmlns="http://schemas.openxmlformats.org/package/2006/relationships"><Relationship Id="rId1" Type="http://schemas.openxmlformats.org/officeDocument/2006/relationships/customXmlProps" Target="itemProps9.xml" /></Relationships>
</file>

<file path=customXml/_rels/item10.xml.rels>&#65279;<?xml version="1.0" encoding="utf-8"?><Relationships xmlns="http://schemas.openxmlformats.org/package/2006/relationships"><Relationship Id="rId1" Type="http://schemas.openxmlformats.org/officeDocument/2006/relationships/customXmlProps" Target="itemProps10.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2022-02-11T15:36:02Z</dcterms:created>
  <dcterms:modified xsi:type="dcterms:W3CDTF">2022-02-11T07:36:02Z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2022-02-11T15:36:02Z</dcterms:created>
  <dcterms:modified xsi:type="dcterms:W3CDTF">2022-02-11T07:36:02Z</dcterms:modified>
</cp:core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2022-02-11T15:36:02Z</dcterms:created>
  <dcterms:modified xsi:type="dcterms:W3CDTF">2022-02-11T07:36:02Z</dcterms:modified>
</cp:coreProperties>
</file>

<file path=customXml/item6.xml><?xml version="1.0" encoding="utf-8"?>
<Properties xmlns:vt="http://schemas.openxmlformats.org/officeDocument/2006/docPropsVTypes" xmlns="http://schemas.openxmlformats.org/officeDocument/2006/extended-properties">
  <Application>Spire.Doc</Application>
  <AppVersion>12.0000</AppVersion>
</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2022-02-11T15:36:02Z</dcterms:created>
  <dcterms:modified xsi:type="dcterms:W3CDTF">2022-02-11T07:36:02Z</dcterms:modified>
</cp:coreProperties>
</file>

<file path=customXml/item8.xml><?xml version="1.0" encoding="utf-8"?>
<Properties xmlns:vt="http://schemas.openxmlformats.org/officeDocument/2006/docPropsVTypes" xmlns="http://schemas.openxmlformats.org/officeDocument/2006/extended-properties">
  <Application>Spire.Doc</Application>
  <AppVersion>12.0000</AppVersion>
</Properties>
</file>

<file path=customXml/item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2022-02-11T15:36:03Z</dcterms:created>
  <dcterms:modified xsi:type="dcterms:W3CDTF">2022-02-11T07:36:02Z</dcterms:modified>
</cp:core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
  <ds:schemaRefs/>
</ds:datastoreItem>
</file>

<file path=customXml/itemProps4.xml><?xml version="1.0" encoding="utf-8"?>
<ds:datastoreItem xmlns:ds="http://schemas.openxmlformats.org/officeDocument/2006/customXml" ds:itemID="">
  <ds:schemaRefs/>
</ds:datastoreItem>
</file>

<file path=customXml/itemProps5.xml><?xml version="1.0" encoding="utf-8"?>
<ds:datastoreItem xmlns:ds="http://schemas.openxmlformats.org/officeDocument/2006/customXml" ds:itemID="">
  <ds:schemaRefs/>
</ds:datastoreItem>
</file>

<file path=customXml/itemProps6.xml><?xml version="1.0" encoding="utf-8"?>
<ds:datastoreItem xmlns:ds="http://schemas.openxmlformats.org/officeDocument/2006/customXml" ds:itemID="">
  <ds:schemaRefs/>
</ds:datastoreItem>
</file>

<file path=customXml/itemProps7.xml><?xml version="1.0" encoding="utf-8"?>
<ds:datastoreItem xmlns:ds="http://schemas.openxmlformats.org/officeDocument/2006/customXml" ds:itemID="">
  <ds:schemaRefs/>
</ds:datastoreItem>
</file>

<file path=customXml/itemProps8.xml><?xml version="1.0" encoding="utf-8"?>
<ds:datastoreItem xmlns:ds="http://schemas.openxmlformats.org/officeDocument/2006/customXml" ds:itemID="">
  <ds:schemaRefs/>
</ds:datastoreItem>
</file>

<file path=customXml/itemProps9.xml><?xml version="1.0" encoding="utf-8"?>
<ds:datastoreItem xmlns:ds="http://schemas.openxmlformats.org/officeDocument/2006/customXml" ds:itemID="">
  <ds:schemaRefs/>
</ds:datastoreItem>
</file>

<file path=customXml/itemProps10.xml><?xml version="1.0" encoding="utf-8"?>
<ds:datastoreItem xmlns:ds="http://schemas.openxmlformats.org/officeDocument/2006/customXml" ds:itemID="">
  <ds:schemaRefs/>
</ds:datastoreItem>
</file>

<file path=docProps/app.xml><?xml version="1.0" encoding="utf-8"?>
<Properties xmlns:vt="http://schemas.openxmlformats.org/officeDocument/2006/docPropsVTypes" xmlns="http://schemas.openxmlformats.org/officeDocument/2006/extended-properties">
  <Application>Spire.Doc</Application>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2022-02-11T15:36:03Z</dcterms:created>
  <dcterms:modified xsi:type="dcterms:W3CDTF">2022-02-11T07:36:04Z</dcterms:modified>
</cp:coreProperties>
</file>