
<file path=[Content_Types].xml><?xml version="1.0" encoding="utf-8"?>
<Types xmlns="http://schemas.openxmlformats.org/package/2006/content-types">
  <Default Extension="xml" ContentType="application/xml"/>
  <Default Extension="xlsx" ContentType="application/vnd.openxmlformats-officedocument.spreadsheetml.sheet"/>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r>
        <w:rPr>
          <w:rFonts w:ascii="仿宋" w:hAnsi="仿宋" w:eastAsia="仿宋"/>
          <w:sz w:val="32"/>
          <w:szCs w:val="32"/>
        </w:rPr>
        <w:pict>
          <v:shape id="椭圆 9" o:spid="_x0000_s1030" o:spt="3" type="#_x0000_t3" style="position:absolute;left:0pt;margin-left:-36pt;margin-top:30.6pt;height:103.45pt;width:103.45pt;z-index:251659264;v-text-anchor:middle;mso-width-relative:page;mso-height-relative:page;" fillcolor="#1F2959" filled="t" stroked="f" coordsize="21600,21600">
            <v:path/>
            <v:fill on="t" focussize="0,0"/>
            <v:stroke on="f" weight="1pt" joinstyle="miter"/>
            <v:imagedata o:title=""/>
            <o:lock v:ext="edit"/>
          </v:shape>
        </w:pict>
      </w:r>
    </w:p>
    <w:p>
      <w:pPr>
        <w:rPr>
          <w:rFonts w:ascii="黑体" w:hAnsi="黑体" w:eastAsia="黑体"/>
          <w:sz w:val="48"/>
          <w:szCs w:val="48"/>
        </w:rPr>
      </w:pPr>
      <w:r>
        <w:rPr>
          <w:rFonts w:ascii="仿宋" w:hAnsi="仿宋" w:eastAsia="仿宋"/>
          <w:sz w:val="32"/>
          <w:szCs w:val="32"/>
        </w:rPr>
        <w:pict>
          <v:rect id="矩形 14" o:spid="_x0000_s1029" o:spt="1" style="position:absolute;left:0pt;margin-left:-40.15pt;margin-top:15.45pt;height:70.5pt;width:111.75pt;z-index:251661312;mso-width-relative:page;mso-height-relative:page;" filled="f" stroked="f" coordsize="21600,21600">
            <v:path/>
            <v:fill on="f" focussize="0,0"/>
            <v:stroke on="f"/>
            <v:imagedata o:title=""/>
            <o:lock v:ext="edit"/>
            <v:textbox>
              <w:txbxContent>
                <w:p>
                  <w:pPr>
                    <w:spacing w:line="360" w:lineRule="auto"/>
                    <w:jc w:val="center"/>
                    <w:rPr>
                      <w:kern w:val="0"/>
                      <w:sz w:val="28"/>
                      <w:szCs w:val="28"/>
                    </w:rPr>
                  </w:pPr>
                  <w:r>
                    <w:rPr>
                      <w:rFonts w:hint="eastAsia" w:ascii="Yu Gothic UI Semibold" w:hAnsi="Yu Gothic UI Semibold" w:eastAsia="宋体"/>
                      <w:color w:val="FFFFFF" w:themeColor="background1"/>
                      <w:kern w:val="24"/>
                      <w:sz w:val="72"/>
                      <w:szCs w:val="72"/>
                    </w:rPr>
                    <w:t>2019</w:t>
                  </w:r>
                  <w:r>
                    <w:rPr>
                      <w:rFonts w:ascii="Yu Gothic UI Semibold" w:hAnsi="Yu Gothic UI Semibold" w:eastAsia="宋体"/>
                      <w:color w:val="FFFFFF"/>
                      <w:kern w:val="24"/>
                      <w:sz w:val="72"/>
                      <w:szCs w:val="72"/>
                    </w:rPr>
                    <w:t>92019</w:t>
                  </w:r>
                </w:p>
                <w:p>
                  <w:pPr>
                    <w:spacing w:line="360" w:lineRule="auto"/>
                    <w:jc w:val="center"/>
                    <w:rPr>
                      <w:kern w:val="0"/>
                      <w:sz w:val="28"/>
                      <w:szCs w:val="28"/>
                    </w:rPr>
                  </w:pPr>
                </w:p>
              </w:txbxContent>
            </v:textbox>
          </v:rect>
        </w:pict>
      </w:r>
      <w:r>
        <w:rPr>
          <w:rFonts w:ascii="仿宋" w:hAnsi="仿宋" w:eastAsia="仿宋"/>
          <w:sz w:val="32"/>
          <w:szCs w:val="32"/>
        </w:rPr>
        <w:pict>
          <v:group id="_x0000_s1026" o:spid="_x0000_s1026" o:spt="203" style="position:absolute;left:0pt;margin-left:-106.3pt;margin-top:13.5pt;height:70.5pt;width:616.3pt;z-index:-251656192;mso-width-relative:page;mso-height-relative:page;" coordorigin="13622,-66719" coordsize="12005,2640087">
            <o:lock v:ext="edit"/>
            <v:rect id="矩形 5" o:spid="_x0000_s1027" o:spt="1" style="position:absolute;left:13622;top:283;height:6170;width:12005;v-text-anchor:middle;" fillcolor="#FDBC11" filled="t" stroked="f" coordsize="21600,21600">
              <v:path/>
              <v:fill on="t" focussize="0,0"/>
              <v:stroke on="f" weight="1pt"/>
              <v:imagedata o:title=""/>
              <o:lock v:ext="edit"/>
            </v:rect>
            <v:shape id="_x0000_s1028" o:spid="_x0000_s1028" o:spt="202" type="#_x0000_t202" style="position:absolute;left:17229;top:-66719;height:2640087;width:8083;" filled="f" stroked="f" coordsize="21600,21600">
              <v:path/>
              <v:fill on="f" focussize="0,0"/>
              <v:stroke on="f" joinstyle="miter"/>
              <v:imagedata o:title=""/>
              <o:lock v:ext="edit"/>
              <v:textbox>
                <w:txbxContent>
                  <w:p>
                    <w:pPr>
                      <w:jc w:val="left"/>
                      <w:rPr>
                        <w:color w:val="000000"/>
                        <w:kern w:val="0"/>
                        <w:sz w:val="96"/>
                        <w:szCs w:val="92"/>
                      </w:rPr>
                    </w:pPr>
                    <w:r>
                      <w:rPr>
                        <w:rFonts w:hint="eastAsia" w:ascii="思源黑体 HW Bold" w:hAnsi="思源黑体 HW Bold" w:eastAsia="思源黑体 HW Bold"/>
                        <w:color w:val="000000"/>
                        <w:kern w:val="24"/>
                        <w:sz w:val="96"/>
                        <w:szCs w:val="92"/>
                      </w:rPr>
                      <w:t>部门决算公开文本</w:t>
                    </w:r>
                  </w:p>
                </w:txbxContent>
              </v:textbox>
            </v:shape>
          </v:group>
        </w:pict>
      </w: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rPr>
          <w:rFonts w:ascii="黑体" w:hAnsi="黑体" w:eastAsia="黑体"/>
          <w:sz w:val="48"/>
          <w:szCs w:val="48"/>
        </w:rPr>
      </w:pPr>
    </w:p>
    <w:p>
      <w:pPr>
        <w:jc w:val="center"/>
        <w:rPr>
          <w:rFonts w:ascii="楷体_GB2312" w:hAnsi="楷体_GB2312" w:eastAsia="楷体_GB2312" w:cs="楷体_GB2312"/>
          <w:color w:val="000000"/>
          <w:kern w:val="0"/>
          <w:sz w:val="44"/>
          <w:szCs w:val="44"/>
        </w:rPr>
      </w:pPr>
      <w:r>
        <w:rPr>
          <w:rFonts w:hint="eastAsia" w:ascii="楷体_GB2312" w:hAnsi="楷体_GB2312" w:eastAsia="楷体_GB2312" w:cs="楷体_GB2312"/>
          <w:color w:val="000000"/>
          <w:kern w:val="0"/>
          <w:sz w:val="44"/>
          <w:szCs w:val="44"/>
        </w:rPr>
        <w:t>二〇二〇年九月</w:t>
      </w: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rPr>
          <w:rFonts w:ascii="黑体" w:hAnsi="黑体" w:eastAsia="黑体" w:cs="黑体"/>
          <w:b/>
          <w:bCs/>
          <w:sz w:val="72"/>
          <w:szCs w:val="96"/>
        </w:rPr>
      </w:pPr>
    </w:p>
    <w:p>
      <w:pPr>
        <w:ind w:firstLine="301" w:firstLineChars="50"/>
        <w:rPr>
          <w:rFonts w:ascii="黑体" w:hAnsi="黑体" w:eastAsia="黑体" w:cs="黑体"/>
          <w:b/>
          <w:bCs/>
          <w:sz w:val="60"/>
          <w:szCs w:val="60"/>
        </w:rPr>
      </w:pPr>
      <w:r>
        <w:rPr>
          <w:rFonts w:ascii="黑体" w:hAnsi="黑体" w:eastAsia="黑体" w:cs="黑体"/>
          <w:b/>
          <w:bCs/>
          <w:sz w:val="60"/>
          <w:szCs w:val="60"/>
        </w:rPr>
        <w:t>2019</w:t>
      </w:r>
      <w:r>
        <w:rPr>
          <w:rFonts w:hint="eastAsia" w:ascii="黑体" w:hAnsi="黑体" w:eastAsia="黑体" w:cs="黑体"/>
          <w:b/>
          <w:bCs/>
          <w:sz w:val="60"/>
          <w:szCs w:val="60"/>
        </w:rPr>
        <w:t>年度部门决算公开文本</w:t>
      </w:r>
    </w:p>
    <w:p>
      <w:pPr>
        <w:jc w:val="center"/>
        <w:rPr>
          <w:rFonts w:ascii="仿宋" w:hAnsi="仿宋" w:eastAsia="仿宋"/>
          <w:sz w:val="32"/>
          <w:szCs w:val="32"/>
        </w:rPr>
      </w:pPr>
    </w:p>
    <w:p>
      <w:pPr>
        <w:jc w:val="center"/>
        <w:rPr>
          <w:rFonts w:ascii="仿宋" w:hAnsi="仿宋" w:eastAsia="仿宋"/>
          <w:sz w:val="32"/>
          <w:szCs w:val="32"/>
        </w:rPr>
      </w:pPr>
    </w:p>
    <w:p>
      <w:pPr>
        <w:jc w:val="center"/>
        <w:rPr>
          <w:rFonts w:ascii="仿宋" w:hAnsi="仿宋" w:eastAsia="仿宋"/>
          <w:sz w:val="32"/>
          <w:szCs w:val="32"/>
        </w:rPr>
      </w:pPr>
    </w:p>
    <w:p>
      <w:pPr>
        <w:jc w:val="center"/>
        <w:rPr>
          <w:rFonts w:ascii="仿宋" w:hAnsi="仿宋" w:eastAsia="仿宋"/>
          <w:sz w:val="32"/>
          <w:szCs w:val="32"/>
        </w:rPr>
      </w:pPr>
    </w:p>
    <w:p>
      <w:pPr>
        <w:jc w:val="center"/>
        <w:rPr>
          <w:rFonts w:ascii="仿宋" w:hAnsi="仿宋" w:eastAsia="仿宋"/>
          <w:sz w:val="32"/>
          <w:szCs w:val="32"/>
        </w:rPr>
      </w:pPr>
    </w:p>
    <w:p>
      <w:pPr>
        <w:jc w:val="center"/>
        <w:rPr>
          <w:rFonts w:ascii="仿宋" w:hAnsi="仿宋" w:eastAsia="仿宋"/>
          <w:sz w:val="32"/>
          <w:szCs w:val="32"/>
        </w:rPr>
      </w:pPr>
    </w:p>
    <w:p>
      <w:pPr>
        <w:jc w:val="center"/>
        <w:rPr>
          <w:rFonts w:ascii="仿宋" w:hAnsi="仿宋" w:eastAsia="仿宋"/>
          <w:sz w:val="32"/>
          <w:szCs w:val="32"/>
        </w:rPr>
      </w:pPr>
    </w:p>
    <w:p>
      <w:pPr>
        <w:jc w:val="center"/>
        <w:rPr>
          <w:rFonts w:ascii="仿宋" w:hAnsi="仿宋" w:eastAsia="仿宋"/>
          <w:sz w:val="32"/>
          <w:szCs w:val="32"/>
        </w:rPr>
      </w:pPr>
    </w:p>
    <w:p>
      <w:pPr>
        <w:jc w:val="center"/>
        <w:rPr>
          <w:rFonts w:ascii="仿宋" w:hAnsi="仿宋" w:eastAsia="仿宋"/>
          <w:sz w:val="32"/>
          <w:szCs w:val="32"/>
        </w:rPr>
      </w:pPr>
    </w:p>
    <w:p>
      <w:pPr>
        <w:jc w:val="center"/>
        <w:rPr>
          <w:rFonts w:ascii="仿宋" w:hAnsi="仿宋" w:eastAsia="仿宋"/>
          <w:sz w:val="32"/>
          <w:szCs w:val="32"/>
        </w:rPr>
      </w:pPr>
    </w:p>
    <w:p>
      <w:pPr>
        <w:jc w:val="center"/>
        <w:rPr>
          <w:rFonts w:ascii="仿宋" w:hAnsi="仿宋" w:eastAsia="仿宋"/>
          <w:sz w:val="32"/>
          <w:szCs w:val="32"/>
        </w:rPr>
      </w:pPr>
    </w:p>
    <w:p>
      <w:pPr>
        <w:jc w:val="center"/>
        <w:rPr>
          <w:rFonts w:ascii="仿宋" w:hAnsi="仿宋" w:eastAsia="仿宋"/>
          <w:sz w:val="32"/>
          <w:szCs w:val="32"/>
        </w:rPr>
      </w:pPr>
    </w:p>
    <w:p>
      <w:pPr>
        <w:jc w:val="center"/>
        <w:rPr>
          <w:rFonts w:ascii="仿宋" w:hAnsi="仿宋" w:eastAsia="仿宋"/>
          <w:sz w:val="32"/>
          <w:szCs w:val="32"/>
        </w:rPr>
      </w:pPr>
    </w:p>
    <w:p>
      <w:pPr>
        <w:jc w:val="center"/>
        <w:rPr>
          <w:rFonts w:ascii="仿宋" w:hAnsi="仿宋" w:eastAsia="仿宋"/>
          <w:sz w:val="32"/>
          <w:szCs w:val="32"/>
        </w:rPr>
      </w:pPr>
    </w:p>
    <w:p>
      <w:pPr>
        <w:jc w:val="center"/>
        <w:rPr>
          <w:rFonts w:ascii="楷体_GB2312" w:hAnsi="楷体" w:eastAsia="楷体_GB2312"/>
          <w:b/>
          <w:sz w:val="44"/>
          <w:szCs w:val="44"/>
        </w:rPr>
      </w:pPr>
      <w:r>
        <w:rPr>
          <w:rFonts w:hint="eastAsia" w:ascii="楷体_GB2312" w:hAnsi="楷体" w:eastAsia="楷体_GB2312"/>
          <w:b/>
          <w:sz w:val="44"/>
          <w:szCs w:val="44"/>
        </w:rPr>
        <w:t>顺平县高于铺镇人民政府</w:t>
      </w:r>
    </w:p>
    <w:p>
      <w:pPr>
        <w:jc w:val="center"/>
        <w:rPr>
          <w:rFonts w:ascii="楷体_GB2312" w:hAnsi="楷体" w:eastAsia="楷体_GB2312"/>
          <w:b/>
          <w:sz w:val="44"/>
          <w:szCs w:val="44"/>
        </w:rPr>
      </w:pPr>
      <w:r>
        <w:rPr>
          <w:rFonts w:hint="eastAsia" w:ascii="楷体_GB2312" w:hAnsi="楷体" w:eastAsia="楷体_GB2312"/>
          <w:b/>
          <w:sz w:val="44"/>
          <w:szCs w:val="44"/>
        </w:rPr>
        <w:t>二○二○年九月</w:t>
      </w:r>
    </w:p>
    <w:p>
      <w:pPr>
        <w:jc w:val="center"/>
        <w:rPr>
          <w:rFonts w:ascii="黑体" w:hAnsi="黑体" w:eastAsia="黑体"/>
          <w:sz w:val="36"/>
          <w:szCs w:val="36"/>
        </w:rPr>
      </w:pPr>
    </w:p>
    <w:p>
      <w:pPr>
        <w:rPr>
          <w:rFonts w:ascii="仿宋" w:hAnsi="仿宋" w:eastAsia="仿宋"/>
          <w:b/>
          <w:sz w:val="44"/>
          <w:szCs w:val="44"/>
        </w:rPr>
      </w:pPr>
    </w:p>
    <w:p>
      <w:pPr>
        <w:jc w:val="center"/>
        <w:rPr>
          <w:rFonts w:ascii="仿宋" w:hAnsi="仿宋" w:eastAsia="仿宋"/>
          <w:b/>
          <w:sz w:val="44"/>
          <w:szCs w:val="44"/>
        </w:rPr>
      </w:pPr>
    </w:p>
    <w:p>
      <w:pPr>
        <w:jc w:val="center"/>
        <w:rPr>
          <w:rFonts w:ascii="仿宋" w:hAnsi="仿宋" w:eastAsia="仿宋"/>
          <w:b/>
          <w:sz w:val="44"/>
          <w:szCs w:val="44"/>
        </w:rPr>
      </w:pPr>
      <w:r>
        <w:rPr>
          <w:rFonts w:hint="eastAsia" w:ascii="仿宋" w:hAnsi="仿宋" w:eastAsia="仿宋"/>
          <w:b/>
          <w:sz w:val="44"/>
          <w:szCs w:val="44"/>
        </w:rPr>
        <w:t>目    录</w:t>
      </w:r>
    </w:p>
    <w:p>
      <w:pPr>
        <w:jc w:val="left"/>
        <w:rPr>
          <w:rFonts w:ascii="仿宋" w:hAnsi="仿宋" w:eastAsia="仿宋"/>
          <w:sz w:val="32"/>
          <w:szCs w:val="32"/>
        </w:rPr>
      </w:pPr>
    </w:p>
    <w:p>
      <w:pPr>
        <w:jc w:val="left"/>
        <w:rPr>
          <w:rFonts w:ascii="仿宋" w:hAnsi="仿宋" w:eastAsia="仿宋"/>
          <w:sz w:val="32"/>
          <w:szCs w:val="32"/>
        </w:rPr>
      </w:pPr>
    </w:p>
    <w:p>
      <w:pPr>
        <w:jc w:val="left"/>
        <w:rPr>
          <w:rFonts w:ascii="仿宋" w:hAnsi="仿宋" w:eastAsia="仿宋"/>
          <w:b/>
          <w:sz w:val="32"/>
          <w:szCs w:val="32"/>
        </w:rPr>
      </w:pPr>
      <w:r>
        <w:rPr>
          <w:rFonts w:hint="eastAsia" w:ascii="仿宋" w:hAnsi="仿宋" w:eastAsia="仿宋"/>
          <w:b/>
          <w:sz w:val="32"/>
          <w:szCs w:val="32"/>
        </w:rPr>
        <w:t>第一部分   部门概况</w:t>
      </w:r>
    </w:p>
    <w:p>
      <w:pPr>
        <w:ind w:firstLine="640" w:firstLineChars="200"/>
        <w:jc w:val="left"/>
        <w:rPr>
          <w:rFonts w:ascii="仿宋" w:hAnsi="仿宋" w:eastAsia="仿宋"/>
          <w:sz w:val="32"/>
          <w:szCs w:val="32"/>
        </w:rPr>
      </w:pPr>
      <w:r>
        <w:rPr>
          <w:rFonts w:hint="eastAsia" w:ascii="仿宋" w:hAnsi="仿宋" w:eastAsia="仿宋"/>
          <w:sz w:val="32"/>
          <w:szCs w:val="32"/>
        </w:rPr>
        <w:t>一、部门职责</w:t>
      </w:r>
    </w:p>
    <w:p>
      <w:pPr>
        <w:ind w:firstLine="640" w:firstLineChars="200"/>
        <w:jc w:val="left"/>
        <w:rPr>
          <w:rFonts w:ascii="仿宋" w:hAnsi="仿宋" w:eastAsia="仿宋"/>
          <w:sz w:val="32"/>
          <w:szCs w:val="32"/>
        </w:rPr>
      </w:pPr>
      <w:r>
        <w:rPr>
          <w:rFonts w:hint="eastAsia" w:ascii="仿宋" w:hAnsi="仿宋" w:eastAsia="仿宋"/>
          <w:sz w:val="32"/>
          <w:szCs w:val="32"/>
        </w:rPr>
        <w:t>二、机构设置</w:t>
      </w:r>
    </w:p>
    <w:p>
      <w:pPr>
        <w:jc w:val="left"/>
        <w:rPr>
          <w:rFonts w:ascii="仿宋" w:hAnsi="仿宋" w:eastAsia="仿宋"/>
          <w:b/>
          <w:sz w:val="32"/>
          <w:szCs w:val="32"/>
        </w:rPr>
      </w:pPr>
      <w:r>
        <w:rPr>
          <w:rFonts w:hint="eastAsia" w:ascii="仿宋" w:hAnsi="仿宋" w:eastAsia="仿宋"/>
          <w:b/>
          <w:sz w:val="32"/>
          <w:szCs w:val="32"/>
        </w:rPr>
        <w:t>第二部分   2019年部门决算情况说明</w:t>
      </w:r>
    </w:p>
    <w:p>
      <w:pPr>
        <w:ind w:firstLine="640" w:firstLineChars="200"/>
        <w:jc w:val="left"/>
        <w:rPr>
          <w:rFonts w:ascii="仿宋" w:hAnsi="仿宋" w:eastAsia="仿宋"/>
          <w:sz w:val="32"/>
          <w:szCs w:val="32"/>
        </w:rPr>
      </w:pPr>
      <w:r>
        <w:rPr>
          <w:rFonts w:hint="eastAsia" w:ascii="仿宋" w:hAnsi="仿宋" w:eastAsia="仿宋"/>
          <w:sz w:val="32"/>
          <w:szCs w:val="32"/>
        </w:rPr>
        <w:t>一、收入支出决算总体情况说明</w:t>
      </w:r>
    </w:p>
    <w:p>
      <w:pPr>
        <w:ind w:firstLine="640" w:firstLineChars="200"/>
        <w:jc w:val="left"/>
        <w:rPr>
          <w:rFonts w:ascii="仿宋" w:hAnsi="仿宋" w:eastAsia="仿宋"/>
          <w:sz w:val="32"/>
          <w:szCs w:val="32"/>
        </w:rPr>
      </w:pPr>
      <w:r>
        <w:rPr>
          <w:rFonts w:hint="eastAsia" w:ascii="仿宋" w:hAnsi="仿宋" w:eastAsia="仿宋"/>
          <w:sz w:val="32"/>
          <w:szCs w:val="32"/>
        </w:rPr>
        <w:t>二、收入决算情况说明</w:t>
      </w:r>
    </w:p>
    <w:p>
      <w:pPr>
        <w:ind w:firstLine="640" w:firstLineChars="200"/>
        <w:jc w:val="left"/>
        <w:rPr>
          <w:rFonts w:ascii="仿宋" w:hAnsi="仿宋" w:eastAsia="仿宋"/>
          <w:sz w:val="32"/>
          <w:szCs w:val="32"/>
        </w:rPr>
      </w:pPr>
      <w:r>
        <w:rPr>
          <w:rFonts w:hint="eastAsia" w:ascii="仿宋" w:hAnsi="仿宋" w:eastAsia="仿宋"/>
          <w:sz w:val="32"/>
          <w:szCs w:val="32"/>
        </w:rPr>
        <w:t>三、支出决算情况说明</w:t>
      </w:r>
    </w:p>
    <w:p>
      <w:pPr>
        <w:ind w:firstLine="640" w:firstLineChars="200"/>
        <w:jc w:val="left"/>
        <w:rPr>
          <w:rFonts w:ascii="仿宋" w:hAnsi="仿宋" w:eastAsia="仿宋"/>
          <w:sz w:val="32"/>
          <w:szCs w:val="32"/>
        </w:rPr>
      </w:pPr>
      <w:r>
        <w:rPr>
          <w:rFonts w:hint="eastAsia" w:ascii="仿宋" w:hAnsi="仿宋" w:eastAsia="仿宋"/>
          <w:sz w:val="32"/>
          <w:szCs w:val="32"/>
        </w:rPr>
        <w:t>四、财政拨款收入支出决算总体情况说明</w:t>
      </w:r>
    </w:p>
    <w:p>
      <w:pPr>
        <w:ind w:firstLine="640" w:firstLineChars="200"/>
        <w:jc w:val="left"/>
        <w:rPr>
          <w:rFonts w:ascii="仿宋" w:hAnsi="仿宋" w:eastAsia="仿宋"/>
          <w:sz w:val="32"/>
          <w:szCs w:val="32"/>
        </w:rPr>
      </w:pPr>
      <w:r>
        <w:rPr>
          <w:rFonts w:hint="eastAsia" w:ascii="仿宋" w:hAnsi="仿宋" w:eastAsia="仿宋"/>
          <w:sz w:val="32"/>
          <w:szCs w:val="32"/>
        </w:rPr>
        <w:t>五、一般公共预算“三公”经费支出决算情况说明</w:t>
      </w:r>
    </w:p>
    <w:p>
      <w:pPr>
        <w:ind w:firstLine="640" w:firstLineChars="200"/>
        <w:jc w:val="left"/>
        <w:rPr>
          <w:rFonts w:ascii="仿宋" w:hAnsi="仿宋" w:eastAsia="仿宋"/>
          <w:sz w:val="32"/>
          <w:szCs w:val="32"/>
        </w:rPr>
      </w:pPr>
      <w:r>
        <w:rPr>
          <w:rFonts w:hint="eastAsia" w:ascii="仿宋" w:hAnsi="仿宋" w:eastAsia="仿宋"/>
          <w:sz w:val="32"/>
          <w:szCs w:val="32"/>
        </w:rPr>
        <w:t>六、预算绩效情况说明</w:t>
      </w:r>
    </w:p>
    <w:p>
      <w:pPr>
        <w:ind w:firstLine="640" w:firstLineChars="200"/>
        <w:jc w:val="left"/>
        <w:rPr>
          <w:rFonts w:ascii="仿宋" w:hAnsi="仿宋" w:eastAsia="仿宋"/>
          <w:sz w:val="32"/>
          <w:szCs w:val="32"/>
        </w:rPr>
      </w:pPr>
      <w:r>
        <w:rPr>
          <w:rFonts w:hint="eastAsia" w:ascii="仿宋" w:hAnsi="仿宋" w:eastAsia="仿宋"/>
          <w:sz w:val="32"/>
          <w:szCs w:val="32"/>
        </w:rPr>
        <w:t>七、其他重要事项的说明</w:t>
      </w:r>
    </w:p>
    <w:p>
      <w:pPr>
        <w:jc w:val="left"/>
        <w:rPr>
          <w:rFonts w:ascii="仿宋" w:hAnsi="仿宋" w:eastAsia="仿宋"/>
          <w:b/>
          <w:sz w:val="32"/>
          <w:szCs w:val="32"/>
        </w:rPr>
      </w:pPr>
      <w:r>
        <w:rPr>
          <w:rFonts w:hint="eastAsia" w:ascii="仿宋" w:hAnsi="仿宋" w:eastAsia="仿宋"/>
          <w:b/>
          <w:sz w:val="32"/>
          <w:szCs w:val="32"/>
        </w:rPr>
        <w:t>第三部分  名词解释</w:t>
      </w:r>
    </w:p>
    <w:p>
      <w:pPr>
        <w:jc w:val="left"/>
        <w:rPr>
          <w:rFonts w:ascii="仿宋" w:hAnsi="仿宋" w:eastAsia="仿宋"/>
          <w:b/>
          <w:sz w:val="32"/>
          <w:szCs w:val="32"/>
        </w:rPr>
      </w:pPr>
      <w:r>
        <w:rPr>
          <w:rFonts w:hint="eastAsia" w:ascii="仿宋" w:hAnsi="仿宋" w:eastAsia="仿宋"/>
          <w:b/>
          <w:sz w:val="32"/>
          <w:szCs w:val="32"/>
        </w:rPr>
        <w:t>第四部分  2019年度部门决算报表</w:t>
      </w:r>
    </w:p>
    <w:p>
      <w:pPr>
        <w:jc w:val="left"/>
        <w:rPr>
          <w:rFonts w:ascii="仿宋" w:hAnsi="仿宋" w:eastAsia="仿宋"/>
          <w:b/>
          <w:sz w:val="32"/>
          <w:szCs w:val="32"/>
        </w:rPr>
      </w:pPr>
    </w:p>
    <w:p>
      <w:pPr>
        <w:jc w:val="left"/>
        <w:rPr>
          <w:rFonts w:ascii="仿宋" w:hAnsi="仿宋" w:eastAsia="仿宋"/>
          <w:b/>
          <w:sz w:val="32"/>
          <w:szCs w:val="32"/>
        </w:rPr>
      </w:pPr>
    </w:p>
    <w:p>
      <w:pPr>
        <w:jc w:val="left"/>
        <w:rPr>
          <w:rFonts w:ascii="仿宋" w:hAnsi="仿宋" w:eastAsia="仿宋"/>
          <w:b/>
          <w:sz w:val="32"/>
          <w:szCs w:val="32"/>
        </w:rPr>
      </w:pPr>
    </w:p>
    <w:p>
      <w:pPr>
        <w:jc w:val="left"/>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r>
        <w:rPr>
          <w:rFonts w:ascii="仿宋" w:hAnsi="仿宋" w:eastAsia="仿宋"/>
          <w:b/>
          <w:sz w:val="32"/>
          <w:szCs w:val="32"/>
        </w:rPr>
        <w:pict>
          <v:shape id="_x0000_s1031" o:spid="_x0000_s1031" o:spt="202" type="#_x0000_t202" style="position:absolute;left:0pt;margin-left:-99.15pt;margin-top:41.75pt;height:263.1pt;width:613.65pt;z-index:251662336;v-text-anchor:middle;mso-width-relative:page;mso-height-relative:page;" fillcolor="#FFD966" filled="t" stroked="t" coordsize="21600,21600">
            <v:path/>
            <v:fill type="pattern" on="t" focussize="0,0"/>
            <v:stroke weight="1pt" color="#FFD966" joinstyle="round"/>
            <v:imagedata o:title=""/>
            <o:lock v:ext="edit"/>
            <v:textbox>
              <w:txbxContent>
                <w:p>
                  <w:pPr>
                    <w:widowControl/>
                    <w:jc w:val="center"/>
                    <w:rPr>
                      <w:rFonts w:ascii="黑体" w:hAnsi="黑体" w:eastAsia="黑体" w:cs="黑体"/>
                      <w:color w:val="000000"/>
                      <w:sz w:val="96"/>
                      <w:szCs w:val="96"/>
                    </w:rPr>
                  </w:pPr>
                  <w:r>
                    <w:rPr>
                      <w:rFonts w:hint="eastAsia" w:ascii="黑体" w:hAnsi="黑体" w:eastAsia="黑体" w:cs="黑体"/>
                      <w:color w:val="000000"/>
                      <w:sz w:val="96"/>
                      <w:szCs w:val="96"/>
                    </w:rPr>
                    <w:t>第一部分</w:t>
                  </w:r>
                  <w:r>
                    <w:rPr>
                      <w:rFonts w:ascii="黑体" w:hAnsi="黑体" w:eastAsia="黑体" w:cs="黑体"/>
                      <w:color w:val="000000"/>
                      <w:sz w:val="96"/>
                      <w:szCs w:val="96"/>
                    </w:rPr>
                    <w:t xml:space="preserve">  </w:t>
                  </w:r>
                  <w:r>
                    <w:rPr>
                      <w:rFonts w:hint="eastAsia" w:ascii="黑体" w:hAnsi="黑体" w:eastAsia="黑体" w:cs="黑体"/>
                      <w:color w:val="000000"/>
                      <w:sz w:val="96"/>
                      <w:szCs w:val="96"/>
                    </w:rPr>
                    <w:t>部门概况</w:t>
                  </w:r>
                </w:p>
              </w:txbxContent>
            </v:textbox>
          </v:shape>
        </w:pict>
      </w: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rPr>
          <w:rFonts w:ascii="仿宋" w:hAnsi="仿宋" w:eastAsia="仿宋"/>
          <w:b/>
          <w:sz w:val="32"/>
          <w:szCs w:val="32"/>
        </w:rPr>
      </w:pPr>
    </w:p>
    <w:p>
      <w:pPr>
        <w:ind w:firstLine="640" w:firstLineChars="200"/>
        <w:jc w:val="left"/>
        <w:rPr>
          <w:rFonts w:ascii="黑体" w:hAnsi="黑体" w:eastAsia="黑体"/>
          <w:sz w:val="32"/>
          <w:szCs w:val="32"/>
        </w:rPr>
      </w:pPr>
      <w:r>
        <w:rPr>
          <w:rFonts w:hint="eastAsia" w:ascii="黑体" w:hAnsi="黑体" w:eastAsia="黑体"/>
          <w:sz w:val="32"/>
          <w:szCs w:val="32"/>
        </w:rPr>
        <w:t>一、部门职责</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我镇严格按照党和国家在农村的各项方针政策和法律法规，做好农业、农村、农民工作。</w:t>
      </w:r>
    </w:p>
    <w:p>
      <w:pPr>
        <w:pStyle w:val="13"/>
        <w:widowControl/>
        <w:numPr>
          <w:ilvl w:val="0"/>
          <w:numId w:val="1"/>
        </w:numPr>
        <w:adjustRightInd w:val="0"/>
        <w:snapToGrid w:val="0"/>
        <w:spacing w:after="0" w:line="560" w:lineRule="exact"/>
        <w:ind w:left="0" w:firstLine="640"/>
        <w:jc w:val="left"/>
        <w:rPr>
          <w:rFonts w:ascii="仿宋" w:hAnsi="仿宋" w:eastAsia="仿宋"/>
          <w:sz w:val="32"/>
          <w:szCs w:val="32"/>
        </w:rPr>
      </w:pPr>
      <w:r>
        <w:rPr>
          <w:rFonts w:hint="eastAsia" w:ascii="仿宋" w:hAnsi="仿宋" w:eastAsia="仿宋"/>
          <w:sz w:val="32"/>
          <w:szCs w:val="32"/>
        </w:rPr>
        <w:t>促进经济发展、增加农民收入。一是组织</w:t>
      </w:r>
      <w:bookmarkStart w:id="0" w:name="_GoBack"/>
      <w:bookmarkEnd w:id="0"/>
      <w:r>
        <w:rPr>
          <w:rFonts w:hint="eastAsia" w:ascii="仿宋" w:hAnsi="仿宋" w:eastAsia="仿宋"/>
          <w:sz w:val="32"/>
          <w:szCs w:val="32"/>
          <w:lang w:eastAsia="zh-CN"/>
        </w:rPr>
        <w:t>制订</w:t>
      </w:r>
      <w:r>
        <w:rPr>
          <w:rFonts w:hint="eastAsia" w:ascii="仿宋" w:hAnsi="仿宋" w:eastAsia="仿宋"/>
          <w:sz w:val="32"/>
          <w:szCs w:val="32"/>
        </w:rPr>
        <w:t>本乡镇年度产业发展计划及产业长远发展规划，指导产业结构调整，形成地域产业特色；二是组织营造良好的投资环境，</w:t>
      </w:r>
      <w:r>
        <w:rPr>
          <w:rFonts w:hint="eastAsia" w:ascii="仿宋" w:hAnsi="仿宋" w:eastAsia="仿宋"/>
          <w:sz w:val="32"/>
          <w:szCs w:val="32"/>
          <w:lang w:eastAsia="zh-CN"/>
        </w:rPr>
        <w:t>制订</w:t>
      </w:r>
      <w:r>
        <w:rPr>
          <w:rFonts w:hint="eastAsia" w:ascii="仿宋" w:hAnsi="仿宋" w:eastAsia="仿宋"/>
          <w:sz w:val="32"/>
          <w:szCs w:val="32"/>
        </w:rPr>
        <w:t>加快经济发展的相关配套措施，整合土地、人力等多种资源，形成招商引资的优势，为投资企业做好相关服务；三是推动和引导农民组建各类经济合作组织，提高农业生产组织化程度；四是运用典型示范、能人领路、政府推动等途径和方法，充分发挥经济、资源 、人才、区位优势，引导和鼓励农民搞好产业结构调整，发展区域经济，增加农民收入。</w:t>
      </w:r>
    </w:p>
    <w:p>
      <w:pPr>
        <w:pStyle w:val="13"/>
        <w:widowControl/>
        <w:numPr>
          <w:ilvl w:val="0"/>
          <w:numId w:val="1"/>
        </w:numPr>
        <w:adjustRightInd w:val="0"/>
        <w:snapToGrid w:val="0"/>
        <w:spacing w:after="0" w:line="560" w:lineRule="exact"/>
        <w:ind w:left="0" w:firstLine="640"/>
        <w:jc w:val="left"/>
        <w:rPr>
          <w:rFonts w:ascii="仿宋" w:hAnsi="仿宋" w:eastAsia="仿宋"/>
          <w:sz w:val="32"/>
          <w:szCs w:val="32"/>
        </w:rPr>
      </w:pPr>
      <w:r>
        <w:rPr>
          <w:rFonts w:hint="eastAsia" w:ascii="仿宋" w:hAnsi="仿宋" w:eastAsia="仿宋"/>
          <w:sz w:val="32"/>
          <w:szCs w:val="32"/>
        </w:rPr>
        <w:t>强化公共服务、着力改善民生。一是加强农村市场体系建设，增强市场服务能力;二是加强农田水利基本建设，增强农业抗御自然灾害的能力；三是加强基础设施建设，改善农民生产生活环境；四是搞好科技、信息服务，提高农民现代信息技术水平；五是加强对农村劳动力的职业培训，扩大农村富余劳动力就业；六是协助上级有关部门做好农村社会保障工作，建立健全农村合作医疗、低保、救济等制度，解除农民后顾之忧，着力改善民生。</w:t>
      </w:r>
    </w:p>
    <w:p>
      <w:pPr>
        <w:pStyle w:val="13"/>
        <w:widowControl/>
        <w:numPr>
          <w:ilvl w:val="0"/>
          <w:numId w:val="1"/>
        </w:numPr>
        <w:adjustRightInd w:val="0"/>
        <w:snapToGrid w:val="0"/>
        <w:spacing w:after="0" w:line="560" w:lineRule="exact"/>
        <w:ind w:left="0" w:firstLine="640"/>
        <w:jc w:val="left"/>
        <w:rPr>
          <w:rFonts w:ascii="仿宋" w:hAnsi="仿宋" w:eastAsia="仿宋"/>
          <w:sz w:val="32"/>
          <w:szCs w:val="32"/>
        </w:rPr>
      </w:pPr>
      <w:r>
        <w:rPr>
          <w:rFonts w:hint="eastAsia" w:ascii="仿宋" w:hAnsi="仿宋" w:eastAsia="仿宋"/>
          <w:sz w:val="32"/>
          <w:szCs w:val="32"/>
        </w:rPr>
        <w:t>加强社会管理、维护农村稳定。一是认真贯彻执行国家法律、法规和有关政策，增强农民法律意识，严格规范政府依法行政；二是组织、监督国家基本公共政策的实施，加强乡村财政资金监管，加强义务教育、公共卫生、计划生育、乡村建设等社会事务的行政管理，促进各项社会事业的发展；三是协助上级有关部门做好国土资源管理、环境保护、动物防疫、减灾救灾等工作；四是妥善处理突发性、集体性事件，协助司法机关打击各类刑事犯罪活动；五是抓好农村安全生产的监督管理，保护人民的生命财产免受损失；六是建立健全调解防范体制，充分发挥村民自治和司法调解的作用，搞好农村矛盾纠纷排查调处，维护社会稳定。</w:t>
      </w:r>
    </w:p>
    <w:p>
      <w:pPr>
        <w:autoSpaceDE w:val="0"/>
        <w:autoSpaceDN w:val="0"/>
        <w:adjustRightInd w:val="0"/>
        <w:spacing w:line="560" w:lineRule="exact"/>
        <w:ind w:firstLine="480" w:firstLineChars="150"/>
        <w:jc w:val="left"/>
        <w:rPr>
          <w:rFonts w:ascii="仿宋_GB2312" w:eastAsia="仿宋_GB2312" w:cs="ArialUnicodeMS"/>
          <w:kern w:val="0"/>
          <w:sz w:val="32"/>
          <w:szCs w:val="32"/>
        </w:rPr>
      </w:pPr>
      <w:r>
        <w:rPr>
          <w:rFonts w:hint="eastAsia" w:ascii="仿宋" w:hAnsi="仿宋" w:eastAsia="仿宋"/>
          <w:sz w:val="32"/>
          <w:szCs w:val="32"/>
        </w:rPr>
        <w:t>（四）  推进基层民主、促进农村和谐。一是切实保障法律、法规赋予公民的经济、政治、文化权利，落实公民在选举、管理和监督等方面的民主权利；二是加强农村党组织建设和基层民主政治建设，依法推进村民组织自治；三是加强农村宣传文化工作，抓好农村的思想政治建设和精神文明建设；四是推行与群众对话沟通制度，密切党群、干群关系；五是全面推行政务公开制度，把涉及“三农”工作的办事程序、办事依据、办事结果、收费标准及时向群众和社会公开，让人民群众依法享有对乡镇政务的知情权、参与权和监督权；六是不断强化社会的民主监督作用，凡涉及群众切实利益的问题，主动听取群众意见，自觉接受群众的监督，促进农村和谐。</w:t>
      </w:r>
    </w:p>
    <w:p>
      <w:pPr>
        <w:ind w:firstLine="640" w:firstLineChars="200"/>
        <w:jc w:val="left"/>
        <w:rPr>
          <w:rFonts w:ascii="黑体" w:hAnsi="黑体" w:eastAsia="黑体"/>
          <w:sz w:val="32"/>
          <w:szCs w:val="32"/>
        </w:rPr>
      </w:pPr>
      <w:r>
        <w:rPr>
          <w:rFonts w:hint="eastAsia" w:ascii="黑体" w:hAnsi="黑体" w:eastAsia="黑体"/>
          <w:sz w:val="32"/>
          <w:szCs w:val="32"/>
        </w:rPr>
        <w:t>二、机构设置</w:t>
      </w:r>
    </w:p>
    <w:p>
      <w:pPr>
        <w:ind w:firstLine="640" w:firstLineChars="200"/>
        <w:jc w:val="left"/>
        <w:rPr>
          <w:rFonts w:ascii="仿宋" w:hAnsi="仿宋" w:eastAsia="仿宋"/>
          <w:sz w:val="32"/>
          <w:szCs w:val="32"/>
        </w:rPr>
      </w:pPr>
      <w:r>
        <w:rPr>
          <w:rFonts w:hint="eastAsia" w:ascii="仿宋" w:hAnsi="仿宋" w:eastAsia="仿宋"/>
          <w:sz w:val="32"/>
          <w:szCs w:val="32"/>
        </w:rPr>
        <w:t>从决算编报单位构成看，纳入2019 年度本部门决算汇编范围的独立核算单位（以下简称“单位”）共 1个，具体情况如下：</w:t>
      </w:r>
    </w:p>
    <w:tbl>
      <w:tblPr>
        <w:tblStyle w:val="7"/>
        <w:tblpPr w:leftFromText="180" w:rightFromText="180" w:vertAnchor="text" w:horzAnchor="page" w:tblpXSpec="center" w:tblpY="10"/>
        <w:tblOverlap w:val="never"/>
        <w:tblW w:w="96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9"/>
        <w:gridCol w:w="3485"/>
        <w:gridCol w:w="2445"/>
        <w:gridCol w:w="26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1019" w:type="dxa"/>
            <w:vAlign w:val="center"/>
          </w:tcPr>
          <w:p>
            <w:pPr>
              <w:rPr>
                <w:b/>
                <w:bCs/>
              </w:rPr>
            </w:pPr>
            <w:r>
              <w:rPr>
                <w:rFonts w:hint="eastAsia"/>
                <w:b/>
                <w:bCs/>
              </w:rPr>
              <w:t>序号</w:t>
            </w:r>
          </w:p>
        </w:tc>
        <w:tc>
          <w:tcPr>
            <w:tcW w:w="3485" w:type="dxa"/>
            <w:vAlign w:val="center"/>
          </w:tcPr>
          <w:p>
            <w:pPr>
              <w:rPr>
                <w:b/>
                <w:bCs/>
              </w:rPr>
            </w:pPr>
            <w:r>
              <w:rPr>
                <w:rFonts w:hint="eastAsia"/>
                <w:b/>
                <w:bCs/>
              </w:rPr>
              <w:t>单位名称</w:t>
            </w:r>
          </w:p>
        </w:tc>
        <w:tc>
          <w:tcPr>
            <w:tcW w:w="2445" w:type="dxa"/>
            <w:vAlign w:val="center"/>
          </w:tcPr>
          <w:p>
            <w:pPr>
              <w:rPr>
                <w:b/>
                <w:bCs/>
              </w:rPr>
            </w:pPr>
            <w:r>
              <w:rPr>
                <w:rFonts w:hint="eastAsia"/>
                <w:b/>
                <w:bCs/>
              </w:rPr>
              <w:t>单位基本性质</w:t>
            </w:r>
          </w:p>
        </w:tc>
        <w:tc>
          <w:tcPr>
            <w:tcW w:w="2665" w:type="dxa"/>
            <w:vAlign w:val="center"/>
          </w:tcPr>
          <w:p>
            <w:pPr>
              <w:rPr>
                <w:b/>
                <w:bCs/>
              </w:rPr>
            </w:pPr>
            <w:r>
              <w:rPr>
                <w:rFonts w:hint="eastAsia"/>
                <w:b/>
                <w:bCs/>
              </w:rPr>
              <w:t>经费形式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1019" w:type="dxa"/>
          </w:tcPr>
          <w:p>
            <w:r>
              <w:rPr>
                <w:rFonts w:hint="eastAsia"/>
              </w:rPr>
              <w:t>1</w:t>
            </w:r>
          </w:p>
        </w:tc>
        <w:tc>
          <w:tcPr>
            <w:tcW w:w="3485" w:type="dxa"/>
          </w:tcPr>
          <w:p>
            <w:pPr>
              <w:spacing w:line="560" w:lineRule="exact"/>
              <w:rPr>
                <w:rFonts w:ascii="仿宋" w:hAnsi="仿宋" w:eastAsia="仿宋" w:cs="ArialUnicodeMS"/>
                <w:kern w:val="0"/>
                <w:sz w:val="32"/>
                <w:szCs w:val="32"/>
              </w:rPr>
            </w:pPr>
            <w:r>
              <w:rPr>
                <w:rFonts w:hint="eastAsia" w:ascii="仿宋" w:hAnsi="仿宋" w:eastAsia="仿宋" w:cs="ArialUnicodeMS"/>
                <w:kern w:val="0"/>
                <w:sz w:val="32"/>
                <w:szCs w:val="32"/>
              </w:rPr>
              <w:t>顺平县高于铺镇人民政府(本级)</w:t>
            </w:r>
          </w:p>
        </w:tc>
        <w:tc>
          <w:tcPr>
            <w:tcW w:w="2445" w:type="dxa"/>
          </w:tcPr>
          <w:p>
            <w:pPr>
              <w:spacing w:line="560" w:lineRule="exact"/>
              <w:jc w:val="center"/>
              <w:rPr>
                <w:rFonts w:ascii="仿宋" w:hAnsi="仿宋" w:eastAsia="仿宋" w:cs="ArialUnicodeMS"/>
                <w:kern w:val="0"/>
                <w:sz w:val="32"/>
                <w:szCs w:val="32"/>
              </w:rPr>
            </w:pPr>
            <w:r>
              <w:rPr>
                <w:rFonts w:hint="eastAsia" w:ascii="仿宋" w:hAnsi="仿宋" w:eastAsia="仿宋" w:cs="ArialUnicodeMS"/>
                <w:kern w:val="0"/>
                <w:sz w:val="32"/>
                <w:szCs w:val="32"/>
              </w:rPr>
              <w:t>行政单位</w:t>
            </w:r>
          </w:p>
        </w:tc>
        <w:tc>
          <w:tcPr>
            <w:tcW w:w="2665" w:type="dxa"/>
          </w:tcPr>
          <w:p>
            <w:pPr>
              <w:spacing w:line="560" w:lineRule="exact"/>
              <w:jc w:val="center"/>
              <w:rPr>
                <w:rFonts w:ascii="仿宋" w:hAnsi="仿宋" w:eastAsia="仿宋" w:cs="ArialUnicodeMS"/>
                <w:kern w:val="0"/>
                <w:sz w:val="32"/>
                <w:szCs w:val="32"/>
              </w:rPr>
            </w:pPr>
            <w:r>
              <w:rPr>
                <w:rFonts w:hint="eastAsia" w:ascii="仿宋" w:hAnsi="仿宋" w:eastAsia="仿宋" w:cs="ArialUnicodeMS"/>
                <w:kern w:val="0"/>
                <w:sz w:val="32"/>
                <w:szCs w:val="32"/>
              </w:rPr>
              <w:t>财政拨款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1019" w:type="dxa"/>
          </w:tcPr>
          <w:p/>
        </w:tc>
        <w:tc>
          <w:tcPr>
            <w:tcW w:w="3485" w:type="dxa"/>
          </w:tcPr>
          <w:p/>
        </w:tc>
        <w:tc>
          <w:tcPr>
            <w:tcW w:w="2445" w:type="dxa"/>
          </w:tcPr>
          <w:p/>
        </w:tc>
        <w:tc>
          <w:tcPr>
            <w:tcW w:w="2665" w:type="dxa"/>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1019" w:type="dxa"/>
          </w:tcPr>
          <w:p/>
        </w:tc>
        <w:tc>
          <w:tcPr>
            <w:tcW w:w="3485" w:type="dxa"/>
          </w:tcPr>
          <w:p/>
        </w:tc>
        <w:tc>
          <w:tcPr>
            <w:tcW w:w="2445" w:type="dxa"/>
          </w:tcPr>
          <w:p/>
        </w:tc>
        <w:tc>
          <w:tcPr>
            <w:tcW w:w="2665" w:type="dxa"/>
          </w:tcPr>
          <w:p/>
        </w:tc>
      </w:tr>
    </w:tbl>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r>
        <w:rPr>
          <w:rFonts w:ascii="仿宋" w:hAnsi="仿宋" w:eastAsia="仿宋"/>
          <w:b/>
          <w:sz w:val="32"/>
          <w:szCs w:val="32"/>
        </w:rPr>
        <w:pict>
          <v:shape id="_x0000_s1032" o:spid="_x0000_s1032" o:spt="202" type="#_x0000_t202" style="position:absolute;left:0pt;margin-left:-101.4pt;margin-top:6.8pt;height:263.1pt;width:613.65pt;z-index:251663360;v-text-anchor:middle;mso-width-relative:page;mso-height-relative:page;" fillcolor="#FFD966" filled="t" stroked="t" coordsize="21600,21600">
            <v:path/>
            <v:fill type="pattern" on="t" focussize="0,0"/>
            <v:stroke weight="0.5pt" color="#FFD966" joinstyle="round"/>
            <v:imagedata o:title=""/>
            <o:lock v:ext="edit"/>
            <v:textbox>
              <w:txbxContent>
                <w:p>
                  <w:pPr>
                    <w:widowControl/>
                    <w:jc w:val="center"/>
                    <w:rPr>
                      <w:rFonts w:ascii="黑体" w:hAnsi="黑体" w:eastAsia="黑体" w:cs="黑体"/>
                      <w:color w:val="000000"/>
                      <w:sz w:val="90"/>
                      <w:szCs w:val="90"/>
                    </w:rPr>
                  </w:pPr>
                  <w:r>
                    <w:rPr>
                      <w:rFonts w:hint="eastAsia" w:ascii="黑体" w:hAnsi="黑体" w:eastAsia="黑体" w:cs="黑体"/>
                      <w:color w:val="000000"/>
                      <w:sz w:val="90"/>
                      <w:szCs w:val="90"/>
                    </w:rPr>
                    <w:t>第二部分</w:t>
                  </w:r>
                  <w:r>
                    <w:rPr>
                      <w:rFonts w:ascii="黑体" w:hAnsi="黑体" w:eastAsia="黑体" w:cs="黑体"/>
                      <w:color w:val="000000"/>
                      <w:sz w:val="90"/>
                      <w:szCs w:val="90"/>
                    </w:rPr>
                    <w:t xml:space="preserve"> </w:t>
                  </w:r>
                </w:p>
                <w:p>
                  <w:pPr>
                    <w:widowControl/>
                    <w:jc w:val="center"/>
                    <w:rPr>
                      <w:rFonts w:ascii="黑体" w:hAnsi="黑体" w:eastAsia="黑体" w:cs="黑体"/>
                      <w:color w:val="000000"/>
                      <w:sz w:val="90"/>
                      <w:szCs w:val="90"/>
                    </w:rPr>
                  </w:pPr>
                  <w:r>
                    <w:rPr>
                      <w:rFonts w:ascii="黑体" w:hAnsi="黑体" w:eastAsia="黑体" w:cs="黑体"/>
                      <w:color w:val="000000"/>
                      <w:sz w:val="90"/>
                      <w:szCs w:val="90"/>
                    </w:rPr>
                    <w:t>2019</w:t>
                  </w:r>
                  <w:r>
                    <w:rPr>
                      <w:rFonts w:hint="eastAsia" w:ascii="黑体" w:hAnsi="黑体" w:eastAsia="黑体" w:cs="黑体"/>
                      <w:color w:val="000000"/>
                      <w:sz w:val="90"/>
                      <w:szCs w:val="90"/>
                    </w:rPr>
                    <w:t>年部门决算情况说明</w:t>
                  </w:r>
                </w:p>
                <w:p/>
              </w:txbxContent>
            </v:textbox>
          </v:shape>
        </w:pict>
      </w: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jc w:val="center"/>
        <w:rPr>
          <w:rFonts w:ascii="仿宋" w:hAnsi="仿宋" w:eastAsia="仿宋"/>
          <w:b/>
          <w:sz w:val="32"/>
          <w:szCs w:val="32"/>
        </w:rPr>
      </w:pPr>
    </w:p>
    <w:p>
      <w:pPr>
        <w:rPr>
          <w:rFonts w:ascii="仿宋" w:hAnsi="仿宋" w:eastAsia="仿宋"/>
          <w:b/>
          <w:sz w:val="32"/>
          <w:szCs w:val="32"/>
        </w:rPr>
      </w:pPr>
    </w:p>
    <w:p>
      <w:pPr>
        <w:ind w:firstLine="640" w:firstLineChars="200"/>
        <w:jc w:val="left"/>
        <w:rPr>
          <w:rFonts w:ascii="黑体" w:hAnsi="黑体" w:eastAsia="黑体"/>
          <w:b/>
          <w:sz w:val="32"/>
          <w:szCs w:val="32"/>
        </w:rPr>
      </w:pPr>
      <w:r>
        <w:rPr>
          <w:rFonts w:hint="eastAsia" w:ascii="黑体" w:hAnsi="黑体" w:eastAsia="黑体" w:cs="Times New Roman"/>
          <w:sz w:val="32"/>
          <w:szCs w:val="32"/>
        </w:rPr>
        <w:t>一、收入</w:t>
      </w:r>
      <w:r>
        <w:rPr>
          <w:rFonts w:hint="eastAsia" w:ascii="黑体" w:hAnsi="黑体" w:eastAsia="黑体" w:cs="黑体"/>
          <w:kern w:val="0"/>
          <w:sz w:val="32"/>
          <w:szCs w:val="32"/>
        </w:rPr>
        <w:t>支出</w:t>
      </w:r>
      <w:r>
        <w:rPr>
          <w:rFonts w:hint="eastAsia" w:ascii="黑体" w:hAnsi="黑体" w:eastAsia="黑体" w:cs="Times New Roman"/>
          <w:sz w:val="32"/>
          <w:szCs w:val="32"/>
        </w:rPr>
        <w:t>决算总体情况说明</w:t>
      </w:r>
    </w:p>
    <w:p>
      <w:pPr>
        <w:adjustRightInd w:val="0"/>
        <w:snapToGrid w:val="0"/>
        <w:spacing w:line="580" w:lineRule="exact"/>
        <w:ind w:firstLine="640" w:firstLineChars="200"/>
        <w:rPr>
          <w:rFonts w:ascii="仿宋" w:hAnsi="仿宋" w:eastAsia="仿宋" w:cs="ArialUnicodeMS"/>
          <w:kern w:val="0"/>
          <w:sz w:val="32"/>
          <w:szCs w:val="32"/>
        </w:rPr>
      </w:pPr>
      <w:r>
        <w:rPr>
          <w:rFonts w:hint="eastAsia" w:ascii="仿宋" w:hAnsi="仿宋" w:eastAsia="仿宋" w:cs="ArialUnicodeMS"/>
          <w:kern w:val="0"/>
          <w:sz w:val="32"/>
          <w:szCs w:val="32"/>
        </w:rPr>
        <w:t>本部门</w:t>
      </w:r>
      <w:r>
        <w:rPr>
          <w:rFonts w:ascii="仿宋" w:hAnsi="仿宋" w:eastAsia="仿宋" w:cs="ArialUnicodeMS"/>
          <w:kern w:val="0"/>
          <w:sz w:val="32"/>
          <w:szCs w:val="32"/>
        </w:rPr>
        <w:t>2019</w:t>
      </w:r>
      <w:r>
        <w:rPr>
          <w:rFonts w:hint="eastAsia" w:ascii="仿宋" w:hAnsi="仿宋" w:eastAsia="仿宋" w:cs="ArialUnicodeMS"/>
          <w:kern w:val="0"/>
          <w:sz w:val="32"/>
          <w:szCs w:val="32"/>
        </w:rPr>
        <w:t>年度收入总计（含结转和结余）2432.96万元。与</w:t>
      </w:r>
      <w:r>
        <w:rPr>
          <w:rFonts w:ascii="仿宋" w:hAnsi="仿宋" w:eastAsia="仿宋" w:cs="ArialUnicodeMS"/>
          <w:kern w:val="0"/>
          <w:sz w:val="32"/>
          <w:szCs w:val="32"/>
        </w:rPr>
        <w:t>2018</w:t>
      </w:r>
      <w:r>
        <w:rPr>
          <w:rFonts w:hint="eastAsia" w:ascii="仿宋" w:hAnsi="仿宋" w:eastAsia="仿宋" w:cs="ArialUnicodeMS"/>
          <w:kern w:val="0"/>
          <w:sz w:val="32"/>
          <w:szCs w:val="32"/>
        </w:rPr>
        <w:t>年度决算相比，收入减少1020.09万元，下降29.54</w:t>
      </w:r>
      <w:r>
        <w:rPr>
          <w:rFonts w:ascii="仿宋" w:hAnsi="仿宋" w:eastAsia="仿宋" w:cs="ArialUnicodeMS"/>
          <w:kern w:val="0"/>
          <w:sz w:val="32"/>
          <w:szCs w:val="32"/>
        </w:rPr>
        <w:t>%</w:t>
      </w:r>
      <w:r>
        <w:rPr>
          <w:rFonts w:hint="eastAsia" w:ascii="仿宋" w:hAnsi="仿宋" w:eastAsia="仿宋" w:cs="ArialUnicodeMS"/>
          <w:kern w:val="0"/>
          <w:sz w:val="32"/>
          <w:szCs w:val="32"/>
        </w:rPr>
        <w:t>，主要原因是占地面积重新测量，占地补偿款减少，扶贫项目减少等收入减少。支出总计（含结转和结余）2432.96万元。与</w:t>
      </w:r>
      <w:r>
        <w:rPr>
          <w:rFonts w:ascii="仿宋" w:hAnsi="仿宋" w:eastAsia="仿宋" w:cs="ArialUnicodeMS"/>
          <w:kern w:val="0"/>
          <w:sz w:val="32"/>
          <w:szCs w:val="32"/>
        </w:rPr>
        <w:t>2018</w:t>
      </w:r>
      <w:r>
        <w:rPr>
          <w:rFonts w:hint="eastAsia" w:ascii="仿宋" w:hAnsi="仿宋" w:eastAsia="仿宋" w:cs="ArialUnicodeMS"/>
          <w:kern w:val="0"/>
          <w:sz w:val="32"/>
          <w:szCs w:val="32"/>
        </w:rPr>
        <w:t>年度决算相比，支出减少1020.09万元，下降29.54</w:t>
      </w:r>
      <w:r>
        <w:rPr>
          <w:rFonts w:ascii="仿宋" w:hAnsi="仿宋" w:eastAsia="仿宋" w:cs="ArialUnicodeMS"/>
          <w:kern w:val="0"/>
          <w:sz w:val="32"/>
          <w:szCs w:val="32"/>
        </w:rPr>
        <w:t>%</w:t>
      </w:r>
      <w:r>
        <w:rPr>
          <w:rFonts w:hint="eastAsia" w:ascii="仿宋" w:hAnsi="仿宋" w:eastAsia="仿宋" w:cs="ArialUnicodeMS"/>
          <w:kern w:val="0"/>
          <w:sz w:val="32"/>
          <w:szCs w:val="32"/>
        </w:rPr>
        <w:t>，主要原因是占地面积重新测量，占地补偿款减少，扶贫项目等支出减少。</w:t>
      </w:r>
    </w:p>
    <w:p>
      <w:pPr>
        <w:adjustRightInd w:val="0"/>
        <w:snapToGrid w:val="0"/>
        <w:spacing w:line="580" w:lineRule="exact"/>
        <w:ind w:firstLine="640" w:firstLineChars="200"/>
        <w:rPr>
          <w:rFonts w:ascii="黑体" w:hAnsi="黑体" w:eastAsia="黑体" w:cs="DengXian-Regular"/>
          <w:sz w:val="32"/>
          <w:szCs w:val="32"/>
        </w:rPr>
      </w:pPr>
      <w:r>
        <w:rPr>
          <w:rFonts w:hint="eastAsia" w:ascii="黑体" w:hAnsi="黑体" w:eastAsia="黑体" w:cs="Times New Roman"/>
          <w:sz w:val="32"/>
          <w:szCs w:val="32"/>
        </w:rPr>
        <w:t>二、收入决算情况说明</w:t>
      </w:r>
    </w:p>
    <w:p>
      <w:pPr>
        <w:adjustRightInd w:val="0"/>
        <w:snapToGrid w:val="0"/>
        <w:spacing w:line="580" w:lineRule="exact"/>
        <w:ind w:firstLine="640" w:firstLineChars="200"/>
        <w:rPr>
          <w:rFonts w:ascii="仿宋" w:hAnsi="仿宋" w:eastAsia="仿宋" w:cs="ArialUnicodeMS"/>
          <w:kern w:val="0"/>
          <w:sz w:val="32"/>
          <w:szCs w:val="32"/>
        </w:rPr>
      </w:pPr>
      <w:r>
        <w:rPr>
          <w:rFonts w:hint="eastAsia" w:ascii="仿宋" w:hAnsi="仿宋" w:eastAsia="仿宋" w:cs="ArialUnicodeMS"/>
          <w:kern w:val="0"/>
          <w:sz w:val="32"/>
          <w:szCs w:val="32"/>
        </w:rPr>
        <w:t>本部门2019年度本年收入合计2417.69万元，其中：财政拨款收入2417.69万元，占100%。事业收入0万元，占0</w:t>
      </w:r>
      <w:r>
        <w:rPr>
          <w:rFonts w:ascii="仿宋" w:hAnsi="仿宋" w:eastAsia="仿宋" w:cs="ArialUnicodeMS"/>
          <w:kern w:val="0"/>
          <w:sz w:val="32"/>
          <w:szCs w:val="32"/>
        </w:rPr>
        <w:t>%</w:t>
      </w:r>
      <w:r>
        <w:rPr>
          <w:rFonts w:hint="eastAsia" w:ascii="仿宋" w:hAnsi="仿宋" w:eastAsia="仿宋" w:cs="ArialUnicodeMS"/>
          <w:kern w:val="0"/>
          <w:sz w:val="32"/>
          <w:szCs w:val="32"/>
        </w:rPr>
        <w:t>；经营收入0万元，占0</w:t>
      </w:r>
      <w:r>
        <w:rPr>
          <w:rFonts w:ascii="仿宋" w:hAnsi="仿宋" w:eastAsia="仿宋" w:cs="ArialUnicodeMS"/>
          <w:kern w:val="0"/>
          <w:sz w:val="32"/>
          <w:szCs w:val="32"/>
        </w:rPr>
        <w:t>%</w:t>
      </w:r>
      <w:r>
        <w:rPr>
          <w:rFonts w:hint="eastAsia" w:ascii="仿宋" w:hAnsi="仿宋" w:eastAsia="仿宋" w:cs="ArialUnicodeMS"/>
          <w:kern w:val="0"/>
          <w:sz w:val="32"/>
          <w:szCs w:val="32"/>
        </w:rPr>
        <w:t>；其他收入0万元，占0</w:t>
      </w:r>
      <w:r>
        <w:rPr>
          <w:rFonts w:ascii="仿宋" w:hAnsi="仿宋" w:eastAsia="仿宋" w:cs="ArialUnicodeMS"/>
          <w:kern w:val="0"/>
          <w:sz w:val="32"/>
          <w:szCs w:val="32"/>
        </w:rPr>
        <w:t>%</w:t>
      </w:r>
      <w:r>
        <w:rPr>
          <w:rFonts w:hint="eastAsia" w:ascii="仿宋" w:hAnsi="仿宋" w:eastAsia="仿宋" w:cs="ArialUnicodeMS"/>
          <w:kern w:val="0"/>
          <w:sz w:val="32"/>
          <w:szCs w:val="32"/>
        </w:rPr>
        <w:t>。</w:t>
      </w:r>
    </w:p>
    <w:p>
      <w:pPr>
        <w:keepNext/>
        <w:keepLines/>
        <w:snapToGrid w:val="0"/>
        <w:spacing w:line="580" w:lineRule="exact"/>
        <w:ind w:firstLine="640" w:firstLineChars="200"/>
        <w:outlineLvl w:val="1"/>
        <w:rPr>
          <w:rFonts w:ascii="黑体" w:hAnsi="黑体" w:eastAsia="黑体" w:cs="Times New Roman"/>
          <w:sz w:val="32"/>
          <w:szCs w:val="32"/>
        </w:rPr>
      </w:pPr>
      <w:r>
        <w:rPr>
          <w:rFonts w:hint="eastAsia" w:ascii="黑体" w:hAnsi="黑体" w:eastAsia="黑体" w:cs="Times New Roman"/>
          <w:sz w:val="32"/>
          <w:szCs w:val="32"/>
        </w:rPr>
        <w:t>三、支出决算情况说明</w:t>
      </w:r>
    </w:p>
    <w:p>
      <w:pPr>
        <w:ind w:firstLine="640" w:firstLineChars="200"/>
        <w:jc w:val="left"/>
        <w:rPr>
          <w:rFonts w:ascii="仿宋" w:hAnsi="仿宋" w:eastAsia="仿宋"/>
          <w:b/>
          <w:sz w:val="32"/>
          <w:szCs w:val="32"/>
        </w:rPr>
      </w:pPr>
      <w:r>
        <w:rPr>
          <w:rFonts w:hint="eastAsia" w:ascii="仿宋" w:hAnsi="仿宋" w:eastAsia="仿宋" w:cs="ArialUnicodeMS"/>
          <w:kern w:val="0"/>
          <w:sz w:val="32"/>
          <w:szCs w:val="32"/>
        </w:rPr>
        <w:t>本部门2019年度本年支出合计2432.96万元，其中：基本支出960.62万元，占39.48%；项目支出1472.33万元，占60.52%；经营支出0万元，占0</w:t>
      </w:r>
      <w:r>
        <w:rPr>
          <w:rFonts w:ascii="仿宋" w:hAnsi="仿宋" w:eastAsia="仿宋" w:cs="ArialUnicodeMS"/>
          <w:kern w:val="0"/>
          <w:sz w:val="32"/>
          <w:szCs w:val="32"/>
        </w:rPr>
        <w:t>%</w:t>
      </w:r>
      <w:r>
        <w:rPr>
          <w:rFonts w:hint="eastAsia" w:ascii="仿宋" w:hAnsi="仿宋" w:eastAsia="仿宋" w:cs="ArialUnicodeMS"/>
          <w:kern w:val="0"/>
          <w:sz w:val="32"/>
          <w:szCs w:val="32"/>
        </w:rPr>
        <w:t>。如图所示：</w:t>
      </w:r>
      <w:r>
        <w:rPr>
          <w:rFonts w:ascii="仿宋" w:hAnsi="仿宋" w:eastAsia="仿宋"/>
          <w:b/>
          <w:sz w:val="32"/>
          <w:szCs w:val="32"/>
        </w:rPr>
        <w:drawing>
          <wp:inline distT="0" distB="0" distL="0" distR="0">
            <wp:extent cx="5274310" cy="3076575"/>
            <wp:effectExtent l="19050" t="0" r="21590" b="0"/>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keepNext/>
        <w:keepLines/>
        <w:snapToGrid w:val="0"/>
        <w:spacing w:line="580" w:lineRule="exact"/>
        <w:ind w:firstLine="640" w:firstLineChars="200"/>
        <w:outlineLvl w:val="1"/>
        <w:rPr>
          <w:rFonts w:ascii="黑体" w:hAnsi="黑体" w:eastAsia="黑体" w:cs="Times New Roman"/>
          <w:sz w:val="32"/>
          <w:szCs w:val="32"/>
        </w:rPr>
      </w:pPr>
      <w:r>
        <w:rPr>
          <w:rFonts w:hint="eastAsia" w:ascii="黑体" w:hAnsi="黑体" w:eastAsia="黑体" w:cs="Times New Roman"/>
          <w:sz w:val="32"/>
          <w:szCs w:val="32"/>
        </w:rPr>
        <w:t>四、</w:t>
      </w:r>
      <w:r>
        <w:rPr>
          <w:rFonts w:hint="eastAsia" w:ascii="黑体" w:hAnsi="黑体" w:eastAsia="黑体" w:cs="黑体"/>
          <w:kern w:val="0"/>
          <w:sz w:val="32"/>
          <w:szCs w:val="32"/>
        </w:rPr>
        <w:t>财政</w:t>
      </w:r>
      <w:r>
        <w:rPr>
          <w:rFonts w:hint="eastAsia" w:ascii="黑体" w:hAnsi="黑体" w:eastAsia="黑体" w:cs="Times New Roman"/>
          <w:sz w:val="32"/>
          <w:szCs w:val="32"/>
        </w:rPr>
        <w:t>拨款收入支出决算总体情况说明</w:t>
      </w:r>
    </w:p>
    <w:p>
      <w:pPr>
        <w:snapToGrid w:val="0"/>
        <w:spacing w:line="580" w:lineRule="exact"/>
        <w:ind w:firstLine="643" w:firstLineChars="200"/>
        <w:rPr>
          <w:rFonts w:ascii="仿宋" w:hAnsi="仿宋" w:eastAsia="仿宋" w:cs="DengXian-Bold"/>
          <w:b/>
          <w:bCs/>
          <w:sz w:val="32"/>
          <w:szCs w:val="32"/>
        </w:rPr>
      </w:pPr>
      <w:r>
        <w:rPr>
          <w:rFonts w:hint="eastAsia" w:ascii="仿宋" w:hAnsi="仿宋" w:eastAsia="仿宋" w:cs="DengXian-Bold"/>
          <w:b/>
          <w:bCs/>
          <w:sz w:val="32"/>
          <w:szCs w:val="32"/>
        </w:rPr>
        <w:t>（一）财政拨款收支与2018 年度决算对比情况</w:t>
      </w:r>
    </w:p>
    <w:p>
      <w:pPr>
        <w:adjustRightInd w:val="0"/>
        <w:snapToGrid w:val="0"/>
        <w:spacing w:line="580" w:lineRule="exact"/>
        <w:ind w:firstLine="640" w:firstLineChars="200"/>
        <w:rPr>
          <w:rFonts w:ascii="仿宋" w:hAnsi="仿宋" w:eastAsia="仿宋" w:cs="ArialUnicodeMS"/>
          <w:kern w:val="0"/>
          <w:sz w:val="32"/>
          <w:szCs w:val="32"/>
        </w:rPr>
      </w:pPr>
      <w:r>
        <w:rPr>
          <w:rFonts w:hint="eastAsia" w:ascii="仿宋" w:hAnsi="仿宋" w:eastAsia="仿宋" w:cs="ArialUnicodeMS"/>
          <w:kern w:val="0"/>
          <w:sz w:val="32"/>
          <w:szCs w:val="32"/>
        </w:rPr>
        <w:t>本部门2019年度财政拨款本年收入2417.69万元,比2018年度减少1035.36万元，降低29.98%，主要是高速绿化等占地面积重新测量，占地补偿款减少，扶贫项目有所减少；本年支出2432.96万元，比2018年度减少1000.29万元，降低29.14%，主要是高速绿化等占地面积重新测量，占地补偿款减少，扶贫项目有所减少。具体情况如下：</w:t>
      </w:r>
    </w:p>
    <w:p>
      <w:pPr>
        <w:adjustRightInd w:val="0"/>
        <w:snapToGrid w:val="0"/>
        <w:spacing w:line="580" w:lineRule="exact"/>
        <w:ind w:firstLine="640" w:firstLineChars="200"/>
        <w:rPr>
          <w:rFonts w:ascii="仿宋" w:hAnsi="仿宋" w:eastAsia="仿宋" w:cs="ArialUnicodeMS"/>
          <w:kern w:val="0"/>
          <w:sz w:val="32"/>
          <w:szCs w:val="32"/>
        </w:rPr>
      </w:pPr>
      <w:r>
        <w:rPr>
          <w:rFonts w:hint="eastAsia" w:ascii="仿宋" w:hAnsi="仿宋" w:eastAsia="仿宋" w:cs="ArialUnicodeMS"/>
          <w:kern w:val="0"/>
          <w:sz w:val="32"/>
          <w:szCs w:val="32"/>
        </w:rPr>
        <w:t>1、一般公共预算财政拨款本年收入2310.44万元，比上年减少478.75万元；主要是厉行节俭，节约开支，减少预算；本年支出2310.44万元，比上年减少458.95万元，增降低16.57%，主要是厉行节俭，节约开支。</w:t>
      </w:r>
    </w:p>
    <w:p>
      <w:pPr>
        <w:adjustRightInd w:val="0"/>
        <w:snapToGrid w:val="0"/>
        <w:spacing w:line="580" w:lineRule="exact"/>
        <w:ind w:firstLine="640" w:firstLineChars="200"/>
        <w:rPr>
          <w:rFonts w:ascii="仿宋" w:hAnsi="仿宋" w:eastAsia="仿宋" w:cs="ArialUnicodeMS"/>
          <w:kern w:val="0"/>
          <w:sz w:val="32"/>
          <w:szCs w:val="32"/>
        </w:rPr>
      </w:pPr>
      <w:r>
        <w:rPr>
          <w:rFonts w:hint="eastAsia" w:ascii="仿宋" w:hAnsi="仿宋" w:eastAsia="仿宋" w:cs="ArialUnicodeMS"/>
          <w:kern w:val="0"/>
          <w:sz w:val="32"/>
          <w:szCs w:val="32"/>
        </w:rPr>
        <w:t>2、政府性基金预算财政拨款本年收入107.25万元，比上年减少556.62万元，降低83.84%，主要原因是项目减少；本年支出107.25万元，比上年减少556.62万元，降低83.84%，主要是项目减少。</w:t>
      </w:r>
    </w:p>
    <w:p>
      <w:pPr>
        <w:pStyle w:val="13"/>
        <w:numPr>
          <w:ilvl w:val="0"/>
          <w:numId w:val="2"/>
        </w:numPr>
        <w:snapToGrid w:val="0"/>
        <w:spacing w:line="580" w:lineRule="exact"/>
        <w:ind w:firstLineChars="0"/>
        <w:rPr>
          <w:rFonts w:ascii="仿宋_GB2312" w:eastAsia="仿宋_GB2312" w:cs="DengXian-Bold"/>
          <w:b/>
          <w:bCs/>
          <w:sz w:val="32"/>
          <w:szCs w:val="32"/>
        </w:rPr>
      </w:pPr>
      <w:r>
        <w:rPr>
          <w:rFonts w:hint="eastAsia" w:ascii="楷体_GB2312" w:eastAsia="楷体_GB2312" w:cs="DengXian-Bold"/>
          <w:b/>
          <w:bCs/>
          <w:sz w:val="32"/>
          <w:szCs w:val="32"/>
        </w:rPr>
        <w:t>财政拨款收支与年初预算数对比情况</w:t>
      </w:r>
    </w:p>
    <w:p>
      <w:pPr>
        <w:adjustRightInd w:val="0"/>
        <w:snapToGrid w:val="0"/>
        <w:spacing w:line="580" w:lineRule="exact"/>
        <w:ind w:firstLine="640" w:firstLineChars="200"/>
        <w:rPr>
          <w:rFonts w:ascii="仿宋" w:hAnsi="仿宋" w:eastAsia="仿宋" w:cs="ArialUnicodeMS"/>
          <w:kern w:val="0"/>
          <w:sz w:val="32"/>
          <w:szCs w:val="32"/>
        </w:rPr>
      </w:pPr>
      <w:r>
        <w:rPr>
          <w:rFonts w:hint="eastAsia" w:ascii="仿宋" w:hAnsi="仿宋" w:eastAsia="仿宋" w:cs="ArialUnicodeMS"/>
          <w:kern w:val="0"/>
          <w:sz w:val="32"/>
          <w:szCs w:val="32"/>
        </w:rPr>
        <w:t>本部门2019年度财政拨款本年收入2417.69万元，完成年初预算的133.22%,比年初预算增加602.91万元，决算数大于预算数主要原因是一次性项目的增加和工资待遇调整等；本年支出2432.96万元，完成年初预算的134.06%,比年初预算增加618.18万元，决算数大于预算数主要原因是主要是一次性项目的增加、工资待遇调整和上年结转的支出等。具体情况如下：</w:t>
      </w:r>
    </w:p>
    <w:p>
      <w:pPr>
        <w:numPr>
          <w:ilvl w:val="0"/>
          <w:numId w:val="3"/>
        </w:numPr>
        <w:adjustRightInd w:val="0"/>
        <w:snapToGrid w:val="0"/>
        <w:spacing w:line="580" w:lineRule="exact"/>
        <w:ind w:firstLine="640" w:firstLineChars="200"/>
        <w:rPr>
          <w:rFonts w:ascii="仿宋" w:hAnsi="仿宋" w:eastAsia="仿宋" w:cs="ArialUnicodeMS"/>
          <w:kern w:val="0"/>
          <w:sz w:val="32"/>
          <w:szCs w:val="32"/>
        </w:rPr>
      </w:pPr>
      <w:r>
        <w:rPr>
          <w:rFonts w:hint="eastAsia" w:ascii="仿宋" w:hAnsi="仿宋" w:eastAsia="仿宋" w:cs="ArialUnicodeMS"/>
          <w:kern w:val="0"/>
          <w:sz w:val="32"/>
          <w:szCs w:val="32"/>
        </w:rPr>
        <w:t>一般公共预算财政拨款本年收入完成年初预算的127.31%，比年初预算增加495.66万元，主要是一次性项目的增加和工资待遇调整等；支出完成年初预算127.31%，比年初预算增加495.66万元，主要是一次性项目的增加和工资待遇调整等。</w:t>
      </w:r>
    </w:p>
    <w:p>
      <w:pPr>
        <w:numPr>
          <w:ilvl w:val="0"/>
          <w:numId w:val="3"/>
        </w:numPr>
        <w:adjustRightInd w:val="0"/>
        <w:snapToGrid w:val="0"/>
        <w:spacing w:line="580" w:lineRule="exact"/>
        <w:ind w:firstLine="640" w:firstLineChars="200"/>
        <w:rPr>
          <w:rFonts w:ascii="仿宋" w:hAnsi="仿宋" w:eastAsia="仿宋" w:cs="ArialUnicodeMS"/>
          <w:kern w:val="0"/>
          <w:sz w:val="32"/>
          <w:szCs w:val="32"/>
        </w:rPr>
      </w:pPr>
      <w:r>
        <w:rPr>
          <w:rFonts w:hint="eastAsia" w:ascii="仿宋" w:hAnsi="仿宋" w:eastAsia="仿宋" w:cs="ArialUnicodeMS"/>
          <w:kern w:val="0"/>
          <w:sz w:val="32"/>
          <w:szCs w:val="32"/>
        </w:rPr>
        <w:t>政府性基金预算财政拨款本年收入比年初预算增加107.25万元，主要是一次性项目的增加；支出比年初预算增加107.25万元，主要是一次性项目的增加。</w:t>
      </w:r>
    </w:p>
    <w:p>
      <w:pPr>
        <w:numPr>
          <w:ilvl w:val="0"/>
          <w:numId w:val="4"/>
        </w:numPr>
        <w:adjustRightInd w:val="0"/>
        <w:snapToGrid w:val="0"/>
        <w:spacing w:line="580" w:lineRule="exact"/>
        <w:ind w:left="420" w:leftChars="200"/>
        <w:rPr>
          <w:rFonts w:ascii="仿宋" w:hAnsi="仿宋" w:eastAsia="仿宋" w:cs="DengXian-Bold"/>
          <w:b/>
          <w:bCs/>
          <w:sz w:val="32"/>
          <w:szCs w:val="32"/>
        </w:rPr>
      </w:pPr>
      <w:r>
        <w:rPr>
          <w:rFonts w:hint="eastAsia" w:ascii="仿宋" w:hAnsi="仿宋" w:eastAsia="仿宋" w:cs="DengXian-Bold"/>
          <w:b/>
          <w:bCs/>
          <w:sz w:val="32"/>
          <w:szCs w:val="32"/>
        </w:rPr>
        <w:t>财政拨款支出决算结构情况。</w:t>
      </w:r>
    </w:p>
    <w:p>
      <w:pPr>
        <w:ind w:firstLine="640" w:firstLineChars="200"/>
        <w:jc w:val="left"/>
        <w:rPr>
          <w:rFonts w:ascii="仿宋_GB2312" w:hAnsi="Times New Roman" w:eastAsia="仿宋_GB2312" w:cs="DengXian-Regular"/>
          <w:sz w:val="32"/>
          <w:szCs w:val="32"/>
        </w:rPr>
      </w:pPr>
      <w:r>
        <w:rPr>
          <w:rFonts w:hint="eastAsia" w:ascii="仿宋" w:hAnsi="仿宋" w:eastAsia="仿宋" w:cs="ArialUnicodeMS"/>
          <w:kern w:val="0"/>
          <w:sz w:val="32"/>
          <w:szCs w:val="32"/>
        </w:rPr>
        <w:t>2019 年度财政拨款支出2432.96万元，主要用于以下方面：一般公共服务（类）支出536.00万元，占22.03%，；社会保障和就业（类）支出 184.45万元，占7.58%；卫生健康（类）支出224.57万元，占9.23%；节能环保（类）支出884.65万元，占36.36%；城乡社区（类）支出313.33万元，占12.88%；农林水（类）支出269.36万元，占11.07%；住房保障（类）支出20.61万元，占0.85%。</w:t>
      </w:r>
      <w:r>
        <w:rPr>
          <w:rFonts w:ascii="仿宋_GB2312" w:hAnsi="Times New Roman" w:eastAsia="仿宋_GB2312" w:cs="DengXian-Regular"/>
          <w:sz w:val="32"/>
          <w:szCs w:val="32"/>
        </w:rPr>
        <w:drawing>
          <wp:inline distT="0" distB="0" distL="0" distR="0">
            <wp:extent cx="5274310" cy="3076575"/>
            <wp:effectExtent l="19050" t="0" r="21590" b="0"/>
            <wp:docPr id="3"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pPr>
        <w:adjustRightInd w:val="0"/>
        <w:snapToGrid w:val="0"/>
        <w:spacing w:line="580" w:lineRule="exact"/>
        <w:ind w:left="420" w:leftChars="200"/>
        <w:rPr>
          <w:rFonts w:ascii="仿宋" w:hAnsi="仿宋" w:eastAsia="仿宋" w:cs="DengXian-Bold"/>
          <w:b/>
          <w:bCs/>
          <w:sz w:val="32"/>
          <w:szCs w:val="32"/>
        </w:rPr>
      </w:pPr>
      <w:r>
        <w:rPr>
          <w:rFonts w:hint="eastAsia" w:ascii="仿宋" w:hAnsi="仿宋" w:eastAsia="仿宋" w:cs="DengXian-Bold"/>
          <w:b/>
          <w:bCs/>
          <w:sz w:val="32"/>
          <w:szCs w:val="32"/>
        </w:rPr>
        <w:t>（四）一般公共预算基本支出决算情况说明</w:t>
      </w:r>
    </w:p>
    <w:p>
      <w:pPr>
        <w:adjustRightInd w:val="0"/>
        <w:snapToGrid w:val="0"/>
        <w:spacing w:line="580" w:lineRule="exact"/>
        <w:ind w:firstLine="640" w:firstLineChars="200"/>
        <w:rPr>
          <w:rFonts w:ascii="仿宋" w:hAnsi="仿宋" w:eastAsia="仿宋" w:cs="ArialUnicodeMS"/>
          <w:kern w:val="0"/>
          <w:sz w:val="32"/>
          <w:szCs w:val="32"/>
        </w:rPr>
      </w:pPr>
      <w:r>
        <w:rPr>
          <w:rFonts w:hint="eastAsia" w:ascii="仿宋" w:hAnsi="仿宋" w:eastAsia="仿宋" w:cs="ArialUnicodeMS"/>
          <w:kern w:val="0"/>
          <w:sz w:val="32"/>
          <w:szCs w:val="32"/>
        </w:rPr>
        <w:t>2019 年度财政拨款基本支出960.62万元，其中：人员经费920.62万元，主要包括基本工资、津贴补贴、绩效工资、机关事业单位基本养老保险缴费、职业年金缴费、职工基本医疗保险缴费、住房公积金、其他社会保障缴费、抚恤金、生活补助；公用经费40.00万元，主要包括办公费、印刷费、水费、电费、取暖费、公务用车运行维护费。</w:t>
      </w:r>
    </w:p>
    <w:p>
      <w:pPr>
        <w:adjustRightInd w:val="0"/>
        <w:snapToGrid w:val="0"/>
        <w:spacing w:line="580" w:lineRule="exact"/>
        <w:ind w:firstLine="640" w:firstLineChars="200"/>
        <w:rPr>
          <w:rFonts w:ascii="黑体" w:hAnsi="黑体" w:eastAsia="黑体" w:cs="DengXian-Regular"/>
          <w:sz w:val="32"/>
          <w:szCs w:val="32"/>
        </w:rPr>
      </w:pPr>
      <w:r>
        <w:rPr>
          <w:rFonts w:hint="eastAsia" w:ascii="黑体" w:hAnsi="黑体" w:eastAsia="黑体" w:cs="Times New Roman"/>
          <w:sz w:val="32"/>
          <w:szCs w:val="32"/>
        </w:rPr>
        <w:t>五、一般公共预算“三公” 经费支出决算情况说明</w:t>
      </w:r>
    </w:p>
    <w:p>
      <w:pPr>
        <w:adjustRightInd w:val="0"/>
        <w:snapToGrid w:val="0"/>
        <w:spacing w:line="580" w:lineRule="exact"/>
        <w:ind w:firstLine="640" w:firstLineChars="200"/>
        <w:rPr>
          <w:rFonts w:ascii="仿宋" w:hAnsi="仿宋" w:eastAsia="仿宋" w:cs="ArialUnicodeMS"/>
          <w:kern w:val="0"/>
          <w:sz w:val="32"/>
          <w:szCs w:val="32"/>
        </w:rPr>
      </w:pPr>
      <w:r>
        <w:rPr>
          <w:rFonts w:hint="eastAsia" w:ascii="仿宋" w:hAnsi="仿宋" w:eastAsia="仿宋" w:cs="ArialUnicodeMS"/>
          <w:kern w:val="0"/>
          <w:sz w:val="32"/>
          <w:szCs w:val="32"/>
        </w:rPr>
        <w:t>本部门2019年度“三公”经费支出共计9.00万元，完成预算的100%，与年初预算持平，主要是，厉行节俭，严格按照县财政安排形成支出。较2018年度相比无变化，主要是，厉行节俭，严格按照县财政安排形成支出。具体情况如下：</w:t>
      </w:r>
    </w:p>
    <w:p>
      <w:pPr>
        <w:adjustRightInd w:val="0"/>
        <w:snapToGrid w:val="0"/>
        <w:spacing w:line="580" w:lineRule="exact"/>
        <w:ind w:firstLine="643" w:firstLineChars="200"/>
        <w:rPr>
          <w:rFonts w:ascii="仿宋" w:hAnsi="仿宋" w:eastAsia="仿宋" w:cs="DengXian-Bold"/>
          <w:bCs/>
          <w:sz w:val="32"/>
          <w:szCs w:val="32"/>
        </w:rPr>
      </w:pPr>
      <w:r>
        <w:rPr>
          <w:rFonts w:hint="eastAsia" w:ascii="仿宋" w:hAnsi="仿宋" w:eastAsia="仿宋" w:cs="DengXian-Bold"/>
          <w:b/>
          <w:bCs/>
          <w:sz w:val="32"/>
          <w:szCs w:val="32"/>
        </w:rPr>
        <w:t>（一）因公出国（境）费支出0万元。</w:t>
      </w:r>
      <w:r>
        <w:rPr>
          <w:rFonts w:hint="eastAsia" w:ascii="仿宋" w:hAnsi="仿宋" w:eastAsia="仿宋" w:cs="DengXian-Bold"/>
          <w:bCs/>
          <w:sz w:val="32"/>
          <w:szCs w:val="32"/>
        </w:rPr>
        <w:t>部门</w:t>
      </w:r>
      <w:r>
        <w:rPr>
          <w:rFonts w:ascii="仿宋" w:hAnsi="仿宋" w:eastAsia="仿宋" w:cs="DengXian-Bold"/>
          <w:bCs/>
          <w:sz w:val="32"/>
          <w:szCs w:val="32"/>
        </w:rPr>
        <w:t>2019</w:t>
      </w:r>
      <w:r>
        <w:rPr>
          <w:rFonts w:hint="eastAsia" w:ascii="仿宋" w:hAnsi="仿宋" w:eastAsia="仿宋" w:cs="DengXian-Bold"/>
          <w:bCs/>
          <w:sz w:val="32"/>
          <w:szCs w:val="32"/>
        </w:rPr>
        <w:t>年度因公出国（境）团组0个、共0人</w:t>
      </w:r>
      <w:r>
        <w:rPr>
          <w:rFonts w:ascii="仿宋" w:hAnsi="仿宋" w:eastAsia="仿宋" w:cs="DengXian-Bold"/>
          <w:bCs/>
          <w:sz w:val="32"/>
          <w:szCs w:val="32"/>
        </w:rPr>
        <w:t>/</w:t>
      </w:r>
      <w:r>
        <w:rPr>
          <w:rFonts w:hint="eastAsia" w:ascii="仿宋" w:hAnsi="仿宋" w:eastAsia="仿宋" w:cs="DengXian-Bold"/>
          <w:bCs/>
          <w:sz w:val="32"/>
          <w:szCs w:val="32"/>
        </w:rPr>
        <w:t>参加其他单位组织的因公出国（境）团组0个、共0人</w:t>
      </w:r>
      <w:r>
        <w:rPr>
          <w:rFonts w:ascii="仿宋" w:hAnsi="仿宋" w:eastAsia="仿宋" w:cs="DengXian-Bold"/>
          <w:bCs/>
          <w:sz w:val="32"/>
          <w:szCs w:val="32"/>
        </w:rPr>
        <w:t>/</w:t>
      </w:r>
      <w:r>
        <w:rPr>
          <w:rFonts w:hint="eastAsia" w:ascii="仿宋" w:hAnsi="仿宋" w:eastAsia="仿宋" w:cs="DengXian-Bold"/>
          <w:bCs/>
          <w:sz w:val="32"/>
          <w:szCs w:val="32"/>
        </w:rPr>
        <w:t>无本单位组织的出国（境）团组。因公出国（境）费支出与预算持平</w:t>
      </w:r>
      <w:r>
        <w:rPr>
          <w:rFonts w:ascii="仿宋" w:hAnsi="仿宋" w:eastAsia="仿宋" w:cs="DengXian-Bold"/>
          <w:bCs/>
          <w:sz w:val="32"/>
          <w:szCs w:val="32"/>
        </w:rPr>
        <w:t>,</w:t>
      </w:r>
      <w:r>
        <w:rPr>
          <w:rFonts w:hint="eastAsia" w:ascii="仿宋" w:hAnsi="仿宋" w:eastAsia="仿宋" w:cs="DengXian-Bold"/>
          <w:bCs/>
          <w:sz w:val="32"/>
          <w:szCs w:val="32"/>
        </w:rPr>
        <w:t>主要是我单位无因公出国（境）工作需要；较上年持平，主要是我单位无因公出国（境）工作需要。</w:t>
      </w:r>
    </w:p>
    <w:p>
      <w:pPr>
        <w:adjustRightInd w:val="0"/>
        <w:snapToGrid w:val="0"/>
        <w:spacing w:line="580" w:lineRule="exact"/>
        <w:ind w:firstLine="643" w:firstLineChars="200"/>
        <w:rPr>
          <w:rFonts w:ascii="仿宋" w:hAnsi="仿宋" w:eastAsia="仿宋" w:cs="DengXian-Bold"/>
          <w:bCs/>
          <w:sz w:val="32"/>
          <w:szCs w:val="32"/>
        </w:rPr>
      </w:pPr>
      <w:r>
        <w:rPr>
          <w:rFonts w:hint="eastAsia" w:ascii="仿宋" w:hAnsi="仿宋" w:eastAsia="仿宋" w:cs="DengXian-Bold"/>
          <w:b/>
          <w:bCs/>
          <w:sz w:val="32"/>
          <w:szCs w:val="32"/>
        </w:rPr>
        <w:t>（二）公务用车购置及运行维护费支出9.00万元。</w:t>
      </w:r>
      <w:r>
        <w:rPr>
          <w:rFonts w:hint="eastAsia" w:ascii="仿宋" w:hAnsi="仿宋" w:eastAsia="仿宋" w:cs="DengXian-Bold"/>
          <w:bCs/>
          <w:sz w:val="32"/>
          <w:szCs w:val="32"/>
        </w:rPr>
        <w:t>本部门2019年度公务用车购置及运行维护费与年初预算持平，</w:t>
      </w:r>
      <w:r>
        <w:rPr>
          <w:rFonts w:hint="eastAsia" w:ascii="仿宋" w:hAnsi="仿宋" w:eastAsia="仿宋" w:cs="ArialUnicodeMS"/>
          <w:kern w:val="0"/>
          <w:sz w:val="32"/>
          <w:szCs w:val="32"/>
        </w:rPr>
        <w:t>主要是，厉行节俭，严格按照县财政安排形成支出</w:t>
      </w:r>
      <w:r>
        <w:rPr>
          <w:rFonts w:hint="eastAsia" w:ascii="仿宋" w:hAnsi="仿宋" w:eastAsia="仿宋" w:cs="DengXian-Bold"/>
          <w:bCs/>
          <w:sz w:val="32"/>
          <w:szCs w:val="32"/>
        </w:rPr>
        <w:t>；与上年持平，</w:t>
      </w:r>
      <w:r>
        <w:rPr>
          <w:rFonts w:hint="eastAsia" w:ascii="仿宋" w:hAnsi="仿宋" w:eastAsia="仿宋" w:cs="ArialUnicodeMS"/>
          <w:kern w:val="0"/>
          <w:sz w:val="32"/>
          <w:szCs w:val="32"/>
        </w:rPr>
        <w:t>主要是，厉行节俭，严格按照县财政安排形成支出</w:t>
      </w:r>
      <w:r>
        <w:rPr>
          <w:rFonts w:hint="eastAsia" w:ascii="仿宋" w:hAnsi="仿宋" w:eastAsia="仿宋" w:cs="DengXian-Bold"/>
          <w:bCs/>
          <w:sz w:val="32"/>
          <w:szCs w:val="32"/>
        </w:rPr>
        <w:t>。其中：</w:t>
      </w:r>
    </w:p>
    <w:p>
      <w:pPr>
        <w:adjustRightInd w:val="0"/>
        <w:snapToGrid w:val="0"/>
        <w:spacing w:line="580" w:lineRule="exact"/>
        <w:ind w:firstLine="643" w:firstLineChars="200"/>
        <w:rPr>
          <w:rFonts w:ascii="仿宋" w:hAnsi="仿宋" w:eastAsia="仿宋" w:cs="DengXian-Bold"/>
          <w:bCs/>
          <w:sz w:val="32"/>
          <w:szCs w:val="32"/>
        </w:rPr>
      </w:pPr>
      <w:r>
        <w:rPr>
          <w:rFonts w:hint="eastAsia" w:ascii="仿宋" w:hAnsi="仿宋" w:eastAsia="仿宋" w:cs="DengXian-Bold"/>
          <w:b/>
          <w:bCs/>
          <w:sz w:val="32"/>
          <w:szCs w:val="32"/>
        </w:rPr>
        <w:t>公务用车购置费0万元：</w:t>
      </w:r>
      <w:r>
        <w:rPr>
          <w:rFonts w:hint="eastAsia" w:ascii="仿宋" w:hAnsi="仿宋" w:eastAsia="仿宋" w:cs="DengXian-Bold"/>
          <w:bCs/>
          <w:sz w:val="32"/>
          <w:szCs w:val="32"/>
        </w:rPr>
        <w:t>本部门2019年度公务用车购置量0辆，发生“公务用车购置”经费支出0万元。公务用车购置费支出与年初预算持平，主要是无公车购置计划；与上年持平，主要是无公车购置计划。</w:t>
      </w:r>
    </w:p>
    <w:p>
      <w:pPr>
        <w:adjustRightInd w:val="0"/>
        <w:snapToGrid w:val="0"/>
        <w:spacing w:line="580" w:lineRule="exact"/>
        <w:ind w:firstLine="643" w:firstLineChars="200"/>
        <w:rPr>
          <w:rFonts w:ascii="仿宋" w:hAnsi="仿宋" w:eastAsia="仿宋" w:cs="DengXian-Bold"/>
          <w:bCs/>
          <w:sz w:val="32"/>
          <w:szCs w:val="32"/>
        </w:rPr>
      </w:pPr>
      <w:r>
        <w:rPr>
          <w:rFonts w:hint="eastAsia" w:ascii="仿宋" w:hAnsi="仿宋" w:eastAsia="仿宋" w:cs="DengXian-Bold"/>
          <w:b/>
          <w:bCs/>
          <w:sz w:val="32"/>
          <w:szCs w:val="32"/>
        </w:rPr>
        <w:t>公务用车运行维护费9万元</w:t>
      </w:r>
      <w:r>
        <w:rPr>
          <w:rFonts w:hint="eastAsia" w:ascii="仿宋" w:hAnsi="仿宋" w:eastAsia="仿宋" w:cs="DengXian-Bold"/>
          <w:bCs/>
          <w:sz w:val="32"/>
          <w:szCs w:val="32"/>
        </w:rPr>
        <w:t>：本部门2019年度单位公务用车保有量3辆。公车运行维护费支出与年初预算持平，</w:t>
      </w:r>
      <w:r>
        <w:rPr>
          <w:rFonts w:hint="eastAsia" w:ascii="仿宋" w:hAnsi="仿宋" w:eastAsia="仿宋" w:cs="ArialUnicodeMS"/>
          <w:kern w:val="0"/>
          <w:sz w:val="32"/>
          <w:szCs w:val="32"/>
        </w:rPr>
        <w:t>主要是，厉行节俭，严格按照县财政安排形成支出</w:t>
      </w:r>
      <w:r>
        <w:rPr>
          <w:rFonts w:hint="eastAsia" w:ascii="仿宋" w:hAnsi="仿宋" w:eastAsia="仿宋" w:cs="DengXian-Bold"/>
          <w:bCs/>
          <w:sz w:val="32"/>
          <w:szCs w:val="32"/>
        </w:rPr>
        <w:t>；与上年持平，</w:t>
      </w:r>
      <w:r>
        <w:rPr>
          <w:rFonts w:hint="eastAsia" w:ascii="仿宋" w:hAnsi="仿宋" w:eastAsia="仿宋" w:cs="ArialUnicodeMS"/>
          <w:kern w:val="0"/>
          <w:sz w:val="32"/>
          <w:szCs w:val="32"/>
        </w:rPr>
        <w:t>主要是，厉行节俭，严格按照县财政安排形成支出</w:t>
      </w:r>
      <w:r>
        <w:rPr>
          <w:rFonts w:hint="eastAsia" w:ascii="仿宋" w:hAnsi="仿宋" w:eastAsia="仿宋" w:cs="DengXian-Bold"/>
          <w:bCs/>
          <w:sz w:val="32"/>
          <w:szCs w:val="32"/>
        </w:rPr>
        <w:t>。</w:t>
      </w:r>
    </w:p>
    <w:p>
      <w:pPr>
        <w:adjustRightInd w:val="0"/>
        <w:snapToGrid w:val="0"/>
        <w:spacing w:line="580" w:lineRule="exact"/>
        <w:ind w:firstLine="643" w:firstLineChars="200"/>
        <w:rPr>
          <w:rFonts w:ascii="仿宋" w:hAnsi="仿宋" w:eastAsia="仿宋" w:cs="DengXian-Bold"/>
          <w:bCs/>
          <w:sz w:val="32"/>
          <w:szCs w:val="32"/>
        </w:rPr>
      </w:pPr>
      <w:r>
        <w:rPr>
          <w:rFonts w:hint="eastAsia" w:ascii="仿宋" w:hAnsi="仿宋" w:eastAsia="仿宋" w:cs="DengXian-Bold"/>
          <w:b/>
          <w:bCs/>
          <w:sz w:val="32"/>
          <w:szCs w:val="32"/>
        </w:rPr>
        <w:t>（三）公务接待费支出0万元。</w:t>
      </w:r>
      <w:r>
        <w:rPr>
          <w:rFonts w:hint="eastAsia" w:ascii="仿宋" w:hAnsi="仿宋" w:eastAsia="仿宋" w:cs="DengXian-Bold"/>
          <w:bCs/>
          <w:sz w:val="32"/>
          <w:szCs w:val="32"/>
        </w:rPr>
        <w:t>本部门2019年度公务接待共0批次、0人次。公务接待费支出与年初预算持平，主要是县财政无公务接待费预算安排；与上年持平，主要是县财政无公务接待费预算安排。</w:t>
      </w:r>
    </w:p>
    <w:p>
      <w:pPr>
        <w:adjustRightInd w:val="0"/>
        <w:snapToGrid w:val="0"/>
        <w:spacing w:line="580" w:lineRule="exact"/>
        <w:ind w:firstLine="640" w:firstLineChars="200"/>
        <w:rPr>
          <w:rFonts w:ascii="黑体" w:hAnsi="黑体" w:eastAsia="黑体" w:cs="Times New Roman"/>
          <w:sz w:val="32"/>
          <w:szCs w:val="32"/>
        </w:rPr>
      </w:pPr>
      <w:r>
        <w:rPr>
          <w:rFonts w:hint="eastAsia" w:ascii="黑体" w:hAnsi="黑体" w:eastAsia="黑体" w:cs="Times New Roman"/>
          <w:sz w:val="32"/>
          <w:szCs w:val="32"/>
        </w:rPr>
        <w:t>六、预算绩效情况说明</w:t>
      </w:r>
    </w:p>
    <w:p>
      <w:pPr>
        <w:adjustRightInd w:val="0"/>
        <w:snapToGrid w:val="0"/>
        <w:spacing w:line="580" w:lineRule="exact"/>
        <w:ind w:firstLine="643" w:firstLineChars="200"/>
        <w:rPr>
          <w:rFonts w:ascii="仿宋_GB2312" w:hAnsi="仿宋_GB2312" w:eastAsia="仿宋_GB2312" w:cs="仿宋_GB2312"/>
          <w:b/>
          <w:bCs/>
          <w:sz w:val="32"/>
          <w:szCs w:val="32"/>
        </w:rPr>
      </w:pPr>
      <w:r>
        <w:rPr>
          <w:rFonts w:hint="eastAsia" w:ascii="仿宋" w:hAnsi="仿宋" w:eastAsia="仿宋" w:cs="仿宋_GB2312"/>
          <w:b/>
          <w:bCs/>
          <w:sz w:val="32"/>
          <w:szCs w:val="32"/>
        </w:rPr>
        <w:t>1、 预算绩效管理工作开展情况</w:t>
      </w:r>
      <w:r>
        <w:rPr>
          <w:rFonts w:hint="eastAsia" w:ascii="仿宋_GB2312" w:hAnsi="仿宋_GB2312" w:eastAsia="仿宋_GB2312" w:cs="仿宋_GB2312"/>
          <w:b/>
          <w:bCs/>
          <w:sz w:val="32"/>
          <w:szCs w:val="32"/>
        </w:rPr>
        <w:t>。</w:t>
      </w:r>
    </w:p>
    <w:p>
      <w:pPr>
        <w:ind w:firstLine="640" w:firstLineChars="200"/>
        <w:rPr>
          <w:rFonts w:ascii="仿宋" w:hAnsi="仿宋" w:eastAsia="仿宋" w:cs="DengXian-Bold"/>
          <w:bCs/>
          <w:sz w:val="32"/>
          <w:szCs w:val="32"/>
        </w:rPr>
      </w:pPr>
      <w:r>
        <w:rPr>
          <w:rFonts w:hint="eastAsia" w:ascii="仿宋" w:hAnsi="仿宋" w:eastAsia="仿宋" w:cs="DengXian-Bold"/>
          <w:bCs/>
          <w:sz w:val="32"/>
          <w:szCs w:val="32"/>
        </w:rPr>
        <w:t>根据预算绩效管理要求，本部门组织对2019年度一般公共预算项目支出全面开展绩效自评，其中，一级项目0个，二级项目13个，共涉及资金1,365.09万元，占一般公共预算项目支出总额的100%。组织对2019年度东北堡蒲阳镇乡道改建工程占地上附着物补偿款和才良至苏头乡道改建工程占地及地上附着物补偿款2个政府性基金预算项目支出开展绩效自评，共涉及资金107.25万元，占政府性基金预算项目支出总额的100%。</w:t>
      </w:r>
    </w:p>
    <w:p>
      <w:pPr>
        <w:adjustRightInd w:val="0"/>
        <w:snapToGrid w:val="0"/>
        <w:spacing w:line="560" w:lineRule="exact"/>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2、部门决算中项目绩效自评结果。</w:t>
      </w:r>
    </w:p>
    <w:p>
      <w:pPr>
        <w:ind w:firstLine="640" w:firstLineChars="200"/>
        <w:rPr>
          <w:rFonts w:ascii="仿宋" w:hAnsi="仿宋" w:eastAsia="仿宋" w:cs="DengXian-Bold"/>
          <w:bCs/>
          <w:sz w:val="32"/>
          <w:szCs w:val="32"/>
        </w:rPr>
      </w:pPr>
      <w:r>
        <w:rPr>
          <w:rFonts w:hint="eastAsia" w:ascii="仿宋" w:hAnsi="仿宋" w:eastAsia="仿宋" w:cs="DengXian-Bold"/>
          <w:bCs/>
          <w:sz w:val="32"/>
          <w:szCs w:val="32"/>
        </w:rPr>
        <w:t>本部门在今年部门决算公开中反映补助经费项目及维稳经费项目等6个项目绩效自评结果。</w:t>
      </w:r>
    </w:p>
    <w:p>
      <w:pPr>
        <w:ind w:firstLine="640" w:firstLineChars="200"/>
        <w:rPr>
          <w:rFonts w:ascii="仿宋_GB2312" w:hAnsi="仿宋_GB2312" w:eastAsia="仿宋_GB2312" w:cs="仿宋_GB2312"/>
          <w:sz w:val="32"/>
          <w:szCs w:val="32"/>
        </w:rPr>
      </w:pPr>
      <w:r>
        <w:rPr>
          <w:rFonts w:hint="eastAsia" w:ascii="仿宋" w:hAnsi="仿宋" w:eastAsia="仿宋" w:cs="DengXian-Bold"/>
          <w:bCs/>
          <w:sz w:val="32"/>
          <w:szCs w:val="32"/>
        </w:rPr>
        <w:t>（1）补助经费项目自评综述：根据年初设定的绩效目标，补助经费项目绩效自评得分为100分。全年预算数为9.00万元，执行数为9.00万元，完成预算的100%。补助经费解决了部分人员的开支问题，使人们在工作上劳有所得，从而</w:t>
      </w:r>
      <w:r>
        <w:rPr>
          <w:rFonts w:hint="eastAsia" w:ascii="仿宋" w:hAnsi="仿宋" w:eastAsia="仿宋" w:cs="DengXian-Regular"/>
          <w:sz w:val="32"/>
          <w:szCs w:val="32"/>
        </w:rPr>
        <w:t>使镇政府的工作能够顺利进行。</w:t>
      </w:r>
    </w:p>
    <w:p>
      <w:pPr>
        <w:adjustRightInd w:val="0"/>
        <w:snapToGrid w:val="0"/>
        <w:spacing w:line="560" w:lineRule="exact"/>
        <w:ind w:firstLine="640" w:firstLineChars="200"/>
        <w:rPr>
          <w:rFonts w:ascii="仿宋" w:hAnsi="仿宋" w:eastAsia="仿宋" w:cs="DengXian-Regular"/>
          <w:sz w:val="32"/>
          <w:szCs w:val="32"/>
        </w:rPr>
      </w:pPr>
      <w:r>
        <w:rPr>
          <w:rFonts w:hint="eastAsia" w:ascii="仿宋" w:hAnsi="仿宋" w:eastAsia="仿宋" w:cs="DengXian-Regular"/>
          <w:sz w:val="32"/>
          <w:szCs w:val="32"/>
        </w:rPr>
        <w:t>（2）维稳</w:t>
      </w:r>
      <w:r>
        <w:rPr>
          <w:rFonts w:hint="eastAsia" w:ascii="仿宋" w:hAnsi="仿宋" w:eastAsia="仿宋" w:cs="DengXian-Bold"/>
          <w:bCs/>
          <w:sz w:val="32"/>
          <w:szCs w:val="32"/>
        </w:rPr>
        <w:t>经费项目绩效自评综述：根据年初设定的绩效目标，维稳经费项目绩效自评得分为100分。全年预算数为37.90万元，执行数为37.90万元，完成预算的100%。维稳经费加大了信访排查力度，增加非常时期的信访值班工作，把信访矛盾解决在萌芽状态，为25个村营</w:t>
      </w:r>
      <w:r>
        <w:rPr>
          <w:rFonts w:hint="eastAsia" w:ascii="仿宋" w:hAnsi="仿宋" w:eastAsia="仿宋" w:cs="DengXian-Regular"/>
          <w:sz w:val="32"/>
          <w:szCs w:val="32"/>
        </w:rPr>
        <w:t>造了安全稳定的氛围。</w:t>
      </w:r>
    </w:p>
    <w:p>
      <w:pPr>
        <w:pStyle w:val="13"/>
        <w:adjustRightInd w:val="0"/>
        <w:snapToGrid w:val="0"/>
        <w:spacing w:after="0" w:line="560" w:lineRule="exact"/>
        <w:ind w:firstLine="640"/>
        <w:rPr>
          <w:rFonts w:ascii="仿宋" w:hAnsi="仿宋" w:eastAsia="仿宋" w:cs="DengXian-Bold"/>
          <w:bCs/>
          <w:sz w:val="32"/>
          <w:szCs w:val="32"/>
        </w:rPr>
      </w:pPr>
      <w:r>
        <w:rPr>
          <w:rFonts w:hint="eastAsia" w:ascii="仿宋" w:hAnsi="仿宋" w:eastAsia="仿宋" w:cs="DengXian-Regular"/>
          <w:sz w:val="32"/>
          <w:szCs w:val="32"/>
        </w:rPr>
        <w:t>（3）占地补偿款</w:t>
      </w:r>
      <w:r>
        <w:rPr>
          <w:rFonts w:hint="eastAsia" w:ascii="仿宋" w:hAnsi="仿宋" w:eastAsia="仿宋" w:cs="DengXian-Bold"/>
          <w:bCs/>
          <w:sz w:val="32"/>
          <w:szCs w:val="32"/>
        </w:rPr>
        <w:t>项目绩效自评综述：根据年初设定的绩效目标，各项占地补偿项目绩效自评得分为100分，完成预算的100%。占地补偿资金解决了农户的基本生活问题，发展了交通事业，促进了经济发展，方便了群众生活和出行。</w:t>
      </w:r>
    </w:p>
    <w:p>
      <w:pPr>
        <w:pStyle w:val="13"/>
        <w:adjustRightInd w:val="0"/>
        <w:snapToGrid w:val="0"/>
        <w:spacing w:after="0" w:line="560" w:lineRule="exact"/>
        <w:ind w:firstLine="640"/>
        <w:rPr>
          <w:rFonts w:ascii="仿宋" w:hAnsi="仿宋" w:eastAsia="仿宋" w:cs="DengXian-Bold"/>
          <w:bCs/>
          <w:sz w:val="32"/>
          <w:szCs w:val="32"/>
        </w:rPr>
      </w:pPr>
      <w:r>
        <w:rPr>
          <w:rFonts w:hint="eastAsia" w:ascii="仿宋" w:hAnsi="仿宋" w:eastAsia="仿宋" w:cs="DengXian-Bold"/>
          <w:bCs/>
          <w:sz w:val="32"/>
          <w:szCs w:val="32"/>
        </w:rPr>
        <w:t>（4）三保经费项目绩效自评综述：据年初设定的绩效目标，三保经费三项绩效自评得分均为100分，完成预算的100%。村级转移支付、村党组织活动经费、服务群众专项经费等使农村基层组织正常运行，逐步化解村级债务。</w:t>
      </w:r>
    </w:p>
    <w:p>
      <w:pPr>
        <w:pStyle w:val="13"/>
        <w:adjustRightInd w:val="0"/>
        <w:snapToGrid w:val="0"/>
        <w:spacing w:after="0" w:line="560" w:lineRule="exact"/>
        <w:ind w:firstLine="640"/>
        <w:rPr>
          <w:rFonts w:ascii="仿宋" w:hAnsi="仿宋" w:eastAsia="仿宋" w:cs="DengXian-Bold"/>
          <w:bCs/>
          <w:sz w:val="32"/>
          <w:szCs w:val="32"/>
        </w:rPr>
      </w:pPr>
      <w:r>
        <w:rPr>
          <w:rFonts w:hint="eastAsia" w:ascii="仿宋" w:hAnsi="仿宋" w:eastAsia="仿宋" w:cs="DengXian-Bold"/>
          <w:bCs/>
          <w:sz w:val="32"/>
          <w:szCs w:val="32"/>
        </w:rPr>
        <w:t>（5）乡镇纪委谈话室建设经费、乡镇环保所建设经费项目绩效自评综述：改善了纪委谈话室和环保所的办公环境，提高工作效率，使纪检和环保工作更加规范。</w:t>
      </w:r>
    </w:p>
    <w:p>
      <w:pPr>
        <w:pStyle w:val="13"/>
        <w:adjustRightInd w:val="0"/>
        <w:snapToGrid w:val="0"/>
        <w:spacing w:after="0" w:line="560" w:lineRule="exact"/>
        <w:ind w:firstLine="640"/>
        <w:rPr>
          <w:rFonts w:ascii="仿宋" w:hAnsi="仿宋" w:eastAsia="仿宋" w:cs="DengXian-Regular"/>
          <w:sz w:val="32"/>
          <w:szCs w:val="32"/>
        </w:rPr>
      </w:pPr>
      <w:r>
        <w:rPr>
          <w:rFonts w:hint="eastAsia" w:ascii="仿宋" w:hAnsi="仿宋" w:eastAsia="仿宋" w:cs="DengXian-Bold"/>
          <w:bCs/>
          <w:sz w:val="32"/>
          <w:szCs w:val="32"/>
        </w:rPr>
        <w:t>（6）环保专职网格员建设项目绩效自评综述：给环保网格员发放工资，加大环境检测力度，使我镇环境卫生得到</w:t>
      </w:r>
      <w:r>
        <w:rPr>
          <w:rFonts w:hint="eastAsia" w:ascii="仿宋" w:hAnsi="仿宋" w:eastAsia="仿宋" w:cs="DengXian-Regular"/>
          <w:sz w:val="32"/>
          <w:szCs w:val="32"/>
        </w:rPr>
        <w:t>进一步提升。</w:t>
      </w:r>
    </w:p>
    <w:p>
      <w:pPr>
        <w:pStyle w:val="13"/>
        <w:adjustRightInd w:val="0"/>
        <w:snapToGrid w:val="0"/>
        <w:spacing w:after="0" w:line="560" w:lineRule="exact"/>
        <w:ind w:firstLine="643"/>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3、财政评价项目绩效评价结果</w:t>
      </w:r>
    </w:p>
    <w:p>
      <w:pPr>
        <w:pStyle w:val="13"/>
        <w:adjustRightInd w:val="0"/>
        <w:snapToGrid w:val="0"/>
        <w:spacing w:after="0" w:line="560" w:lineRule="exact"/>
        <w:ind w:firstLine="640"/>
        <w:rPr>
          <w:rFonts w:ascii="仿宋" w:hAnsi="仿宋" w:eastAsia="仿宋" w:cs="DengXian-Regular"/>
          <w:sz w:val="32"/>
          <w:szCs w:val="32"/>
        </w:rPr>
      </w:pPr>
      <w:r>
        <w:rPr>
          <w:rFonts w:hint="eastAsia" w:ascii="仿宋" w:hAnsi="仿宋" w:eastAsia="仿宋" w:cs="DengXian-Regular"/>
          <w:sz w:val="32"/>
          <w:szCs w:val="32"/>
        </w:rPr>
        <w:t>本部门无财政评价项目。</w:t>
      </w:r>
    </w:p>
    <w:p>
      <w:pPr>
        <w:adjustRightInd w:val="0"/>
        <w:snapToGrid w:val="0"/>
        <w:spacing w:line="560" w:lineRule="exact"/>
        <w:ind w:firstLine="640" w:firstLineChars="200"/>
        <w:rPr>
          <w:rFonts w:ascii="黑体" w:hAnsi="黑体" w:eastAsia="黑体" w:cs="DengXian-Regular"/>
          <w:sz w:val="32"/>
          <w:szCs w:val="32"/>
        </w:rPr>
      </w:pPr>
      <w:r>
        <w:rPr>
          <w:rFonts w:hint="eastAsia" w:ascii="黑体" w:hAnsi="黑体" w:eastAsia="黑体"/>
          <w:sz w:val="32"/>
          <w:szCs w:val="32"/>
        </w:rPr>
        <w:t>七、其他重要事项的说明</w:t>
      </w:r>
    </w:p>
    <w:p>
      <w:pPr>
        <w:keepNext/>
        <w:keepLines/>
        <w:snapToGrid w:val="0"/>
        <w:spacing w:line="580" w:lineRule="exact"/>
        <w:ind w:firstLine="643" w:firstLineChars="200"/>
        <w:outlineLvl w:val="2"/>
        <w:rPr>
          <w:rFonts w:ascii="仿宋" w:hAnsi="仿宋" w:eastAsia="仿宋" w:cs="DengXian-Bold"/>
          <w:b/>
          <w:bCs/>
          <w:sz w:val="32"/>
          <w:szCs w:val="32"/>
        </w:rPr>
      </w:pPr>
      <w:r>
        <w:rPr>
          <w:rFonts w:hint="eastAsia" w:ascii="仿宋" w:hAnsi="仿宋" w:eastAsia="仿宋" w:cs="DengXian-Bold"/>
          <w:b/>
          <w:bCs/>
          <w:sz w:val="32"/>
          <w:szCs w:val="32"/>
        </w:rPr>
        <w:t>（一）机关运行经费情况</w:t>
      </w:r>
    </w:p>
    <w:p>
      <w:pPr>
        <w:pStyle w:val="13"/>
        <w:adjustRightInd w:val="0"/>
        <w:snapToGrid w:val="0"/>
        <w:spacing w:after="0" w:line="560" w:lineRule="exact"/>
        <w:ind w:firstLine="640"/>
        <w:rPr>
          <w:rFonts w:ascii="仿宋" w:hAnsi="仿宋" w:eastAsia="仿宋" w:cs="DengXian-Regular"/>
          <w:sz w:val="32"/>
          <w:szCs w:val="32"/>
        </w:rPr>
      </w:pPr>
      <w:r>
        <w:rPr>
          <w:rFonts w:hint="eastAsia" w:ascii="仿宋" w:hAnsi="仿宋" w:eastAsia="仿宋" w:cs="DengXian-Regular"/>
          <w:sz w:val="32"/>
          <w:szCs w:val="32"/>
        </w:rPr>
        <w:t>本部门2019年度机关运行经费支出40.00万元，与2018年度决算支出持平，</w:t>
      </w:r>
      <w:r>
        <w:rPr>
          <w:rFonts w:hint="eastAsia" w:ascii="仿宋" w:hAnsi="仿宋" w:eastAsia="仿宋" w:cs="ArialUnicodeMS"/>
          <w:kern w:val="0"/>
          <w:sz w:val="32"/>
          <w:szCs w:val="32"/>
        </w:rPr>
        <w:t>主要是，厉行节俭，严格按照县财政安排形成支出</w:t>
      </w:r>
      <w:r>
        <w:rPr>
          <w:rFonts w:hint="eastAsia" w:ascii="仿宋" w:hAnsi="仿宋" w:eastAsia="仿宋" w:cs="DengXian-Regular"/>
          <w:sz w:val="32"/>
          <w:szCs w:val="32"/>
        </w:rPr>
        <w:t>。本部门2019年度机关运行经费支出40.00万元，与年初预算数持平，</w:t>
      </w:r>
      <w:r>
        <w:rPr>
          <w:rFonts w:hint="eastAsia" w:ascii="仿宋" w:hAnsi="仿宋" w:eastAsia="仿宋" w:cs="ArialUnicodeMS"/>
          <w:kern w:val="0"/>
          <w:sz w:val="32"/>
          <w:szCs w:val="32"/>
        </w:rPr>
        <w:t>主要是，厉行节俭，严格按照县财政安排形成支出。</w:t>
      </w:r>
    </w:p>
    <w:p>
      <w:pPr>
        <w:keepNext/>
        <w:keepLines/>
        <w:snapToGrid w:val="0"/>
        <w:spacing w:line="580" w:lineRule="exact"/>
        <w:ind w:firstLine="640" w:firstLineChars="200"/>
        <w:outlineLvl w:val="2"/>
        <w:rPr>
          <w:rFonts w:ascii="楷体_GB2312" w:hAnsi="Times New Roman" w:eastAsia="楷体_GB2312" w:cs="DengXian-Bold"/>
          <w:bCs/>
          <w:sz w:val="32"/>
          <w:szCs w:val="32"/>
        </w:rPr>
      </w:pPr>
      <w:r>
        <w:rPr>
          <w:rFonts w:hint="eastAsia" w:ascii="楷体_GB2312" w:hAnsi="Times New Roman" w:eastAsia="楷体_GB2312" w:cs="DengXian-Bold"/>
          <w:bCs/>
          <w:sz w:val="32"/>
          <w:szCs w:val="32"/>
        </w:rPr>
        <w:t>（二）政府采购情况</w:t>
      </w:r>
    </w:p>
    <w:p>
      <w:pPr>
        <w:pStyle w:val="13"/>
        <w:adjustRightInd w:val="0"/>
        <w:snapToGrid w:val="0"/>
        <w:spacing w:after="0" w:line="560" w:lineRule="exact"/>
        <w:ind w:firstLine="640"/>
        <w:rPr>
          <w:rFonts w:ascii="仿宋" w:hAnsi="仿宋" w:eastAsia="仿宋" w:cs="DengXian-Regular"/>
          <w:sz w:val="32"/>
          <w:szCs w:val="32"/>
        </w:rPr>
      </w:pPr>
      <w:r>
        <w:rPr>
          <w:rFonts w:hint="eastAsia" w:ascii="仿宋" w:hAnsi="仿宋" w:eastAsia="仿宋" w:cs="DengXian-Regular"/>
          <w:sz w:val="32"/>
          <w:szCs w:val="32"/>
        </w:rPr>
        <w:t>本部门2019年度政府采购支出总额0万元，从采购类型来看，</w:t>
      </w:r>
      <w:r>
        <w:rPr>
          <w:rFonts w:ascii="仿宋" w:hAnsi="仿宋" w:eastAsia="仿宋" w:cs="DengXian-Regular"/>
          <w:sz w:val="32"/>
          <w:szCs w:val="32"/>
        </w:rPr>
        <w:t>政府采购货物支出</w:t>
      </w:r>
      <w:r>
        <w:rPr>
          <w:rFonts w:hint="eastAsia" w:ascii="仿宋" w:hAnsi="仿宋" w:eastAsia="仿宋" w:cs="DengXian-Regular"/>
          <w:sz w:val="32"/>
          <w:szCs w:val="32"/>
        </w:rPr>
        <w:t>0</w:t>
      </w:r>
      <w:r>
        <w:rPr>
          <w:rFonts w:ascii="仿宋" w:hAnsi="仿宋" w:eastAsia="仿宋" w:cs="DengXian-Regular"/>
          <w:sz w:val="32"/>
          <w:szCs w:val="32"/>
        </w:rPr>
        <w:t>万元、政府采购工程支出</w:t>
      </w:r>
      <w:r>
        <w:rPr>
          <w:rFonts w:hint="eastAsia" w:ascii="仿宋" w:hAnsi="仿宋" w:eastAsia="仿宋" w:cs="DengXian-Regular"/>
          <w:sz w:val="32"/>
          <w:szCs w:val="32"/>
        </w:rPr>
        <w:t>0</w:t>
      </w:r>
      <w:r>
        <w:rPr>
          <w:rFonts w:ascii="仿宋" w:hAnsi="仿宋" w:eastAsia="仿宋" w:cs="DengXian-Regular"/>
          <w:sz w:val="32"/>
          <w:szCs w:val="32"/>
        </w:rPr>
        <w:t xml:space="preserve">万元、政府采购服务支出 </w:t>
      </w:r>
      <w:r>
        <w:rPr>
          <w:rFonts w:hint="eastAsia" w:ascii="仿宋" w:hAnsi="仿宋" w:eastAsia="仿宋" w:cs="DengXian-Regular"/>
          <w:sz w:val="32"/>
          <w:szCs w:val="32"/>
        </w:rPr>
        <w:t>0</w:t>
      </w:r>
      <w:r>
        <w:rPr>
          <w:rFonts w:ascii="仿宋" w:hAnsi="仿宋" w:eastAsia="仿宋" w:cs="DengXian-Regular"/>
          <w:sz w:val="32"/>
          <w:szCs w:val="32"/>
        </w:rPr>
        <w:t>万元。授予中小企业合同金</w:t>
      </w:r>
      <w:r>
        <w:rPr>
          <w:rFonts w:hint="eastAsia" w:ascii="仿宋" w:hAnsi="仿宋" w:eastAsia="仿宋" w:cs="DengXian-Regular"/>
          <w:sz w:val="32"/>
          <w:szCs w:val="32"/>
        </w:rPr>
        <w:t>0</w:t>
      </w:r>
      <w:r>
        <w:rPr>
          <w:rFonts w:ascii="仿宋" w:hAnsi="仿宋" w:eastAsia="仿宋" w:cs="DengXian-Regular"/>
          <w:sz w:val="32"/>
          <w:szCs w:val="32"/>
        </w:rPr>
        <w:t>万元，占政府采购支出总额的</w:t>
      </w:r>
      <w:r>
        <w:rPr>
          <w:rFonts w:hint="eastAsia" w:ascii="仿宋" w:hAnsi="仿宋" w:eastAsia="仿宋" w:cs="DengXian-Regular"/>
          <w:sz w:val="32"/>
          <w:szCs w:val="32"/>
        </w:rPr>
        <w:t>0%，</w:t>
      </w:r>
      <w:r>
        <w:rPr>
          <w:rFonts w:ascii="仿宋" w:hAnsi="仿宋" w:eastAsia="仿宋" w:cs="DengXian-Regular"/>
          <w:sz w:val="32"/>
          <w:szCs w:val="32"/>
        </w:rPr>
        <w:t>其中授予小微企业合同金额</w:t>
      </w:r>
      <w:r>
        <w:rPr>
          <w:rFonts w:hint="eastAsia" w:ascii="仿宋" w:hAnsi="仿宋" w:eastAsia="仿宋" w:cs="DengXian-Regular"/>
          <w:sz w:val="32"/>
          <w:szCs w:val="32"/>
        </w:rPr>
        <w:t>0</w:t>
      </w:r>
      <w:r>
        <w:rPr>
          <w:rFonts w:ascii="仿宋" w:hAnsi="仿宋" w:eastAsia="仿宋" w:cs="DengXian-Regular"/>
          <w:sz w:val="32"/>
          <w:szCs w:val="32"/>
        </w:rPr>
        <w:t>万元，占政府采购支出总额的</w:t>
      </w:r>
      <w:r>
        <w:rPr>
          <w:rFonts w:hint="eastAsia" w:ascii="仿宋" w:hAnsi="仿宋" w:eastAsia="仿宋" w:cs="DengXian-Regular"/>
          <w:sz w:val="32"/>
          <w:szCs w:val="32"/>
        </w:rPr>
        <w:t>0</w:t>
      </w:r>
      <w:r>
        <w:rPr>
          <w:rFonts w:ascii="仿宋" w:hAnsi="仿宋" w:eastAsia="仿宋" w:cs="DengXian-Regular"/>
          <w:sz w:val="32"/>
          <w:szCs w:val="32"/>
        </w:rPr>
        <w:t>%。</w:t>
      </w:r>
    </w:p>
    <w:p>
      <w:pPr>
        <w:keepNext/>
        <w:keepLines/>
        <w:snapToGrid w:val="0"/>
        <w:spacing w:line="580" w:lineRule="exact"/>
        <w:ind w:firstLine="643" w:firstLineChars="200"/>
        <w:outlineLvl w:val="2"/>
        <w:rPr>
          <w:rFonts w:ascii="仿宋" w:hAnsi="仿宋" w:eastAsia="仿宋" w:cs="DengXian-Bold"/>
          <w:b/>
          <w:bCs/>
          <w:sz w:val="32"/>
          <w:szCs w:val="32"/>
        </w:rPr>
      </w:pPr>
      <w:r>
        <w:rPr>
          <w:rFonts w:hint="eastAsia" w:ascii="仿宋" w:hAnsi="仿宋" w:eastAsia="仿宋" w:cs="DengXian-Bold"/>
          <w:b/>
          <w:bCs/>
          <w:sz w:val="32"/>
          <w:szCs w:val="32"/>
        </w:rPr>
        <w:t>（三）国有资产占用情况</w:t>
      </w:r>
    </w:p>
    <w:p>
      <w:pPr>
        <w:pStyle w:val="13"/>
        <w:adjustRightInd w:val="0"/>
        <w:snapToGrid w:val="0"/>
        <w:spacing w:after="0" w:line="560" w:lineRule="exact"/>
        <w:ind w:firstLine="640"/>
        <w:rPr>
          <w:rFonts w:ascii="仿宋" w:hAnsi="仿宋" w:eastAsia="仿宋" w:cs="DengXian-Regular"/>
          <w:sz w:val="32"/>
          <w:szCs w:val="32"/>
        </w:rPr>
      </w:pPr>
      <w:r>
        <w:rPr>
          <w:rFonts w:hint="eastAsia" w:ascii="仿宋" w:hAnsi="仿宋" w:eastAsia="仿宋" w:cs="DengXian-Regular"/>
          <w:sz w:val="32"/>
          <w:szCs w:val="32"/>
        </w:rPr>
        <w:t>截至2019年12月31日，本部门共有车辆3辆，与上年持平。其中，副部（省）级及以上领导用车0辆，主要领导干部用车0辆，机要通信用车0辆，应急保障用车0辆，执法执勤用车0辆，特种专业技术用车0辆，离退休干部用车0辆，其他用车3辆，其他用车主要是防火巡查等用车；</w:t>
      </w:r>
    </w:p>
    <w:p>
      <w:pPr>
        <w:pStyle w:val="13"/>
        <w:adjustRightInd w:val="0"/>
        <w:snapToGrid w:val="0"/>
        <w:spacing w:after="0" w:line="560" w:lineRule="exact"/>
        <w:ind w:firstLine="640"/>
        <w:rPr>
          <w:rFonts w:ascii="仿宋" w:hAnsi="仿宋" w:eastAsia="仿宋" w:cs="DengXian-Regular"/>
          <w:sz w:val="32"/>
          <w:szCs w:val="32"/>
        </w:rPr>
      </w:pPr>
      <w:r>
        <w:rPr>
          <w:rFonts w:hint="eastAsia" w:ascii="仿宋" w:hAnsi="仿宋" w:eastAsia="仿宋" w:cs="DengXian-Regular"/>
          <w:sz w:val="32"/>
          <w:szCs w:val="32"/>
        </w:rPr>
        <w:t>单位价值50万元以上通用设备0台（套），与上年持平，单位价值100万元以上专用设备0台（套）与上年持平。</w:t>
      </w:r>
    </w:p>
    <w:p>
      <w:pPr>
        <w:keepNext/>
        <w:keepLines/>
        <w:snapToGrid w:val="0"/>
        <w:spacing w:line="580" w:lineRule="exact"/>
        <w:ind w:firstLine="643" w:firstLineChars="200"/>
        <w:outlineLvl w:val="2"/>
        <w:rPr>
          <w:rFonts w:ascii="仿宋" w:hAnsi="仿宋" w:eastAsia="仿宋" w:cs="DengXian-Bold"/>
          <w:b/>
          <w:bCs/>
          <w:sz w:val="32"/>
          <w:szCs w:val="32"/>
        </w:rPr>
      </w:pPr>
      <w:r>
        <w:rPr>
          <w:rFonts w:hint="eastAsia" w:ascii="仿宋" w:hAnsi="仿宋" w:eastAsia="仿宋" w:cs="DengXian-Bold"/>
          <w:b/>
          <w:bCs/>
          <w:sz w:val="32"/>
          <w:szCs w:val="32"/>
        </w:rPr>
        <w:t>（四）其他需要说明的情况</w:t>
      </w:r>
    </w:p>
    <w:p>
      <w:pPr>
        <w:pStyle w:val="13"/>
        <w:adjustRightInd w:val="0"/>
        <w:snapToGrid w:val="0"/>
        <w:spacing w:after="0" w:line="560" w:lineRule="exact"/>
        <w:ind w:firstLine="640"/>
        <w:rPr>
          <w:rFonts w:ascii="仿宋" w:hAnsi="仿宋" w:eastAsia="仿宋" w:cs="DengXian-Regular"/>
          <w:sz w:val="32"/>
          <w:szCs w:val="32"/>
        </w:rPr>
      </w:pPr>
      <w:r>
        <w:rPr>
          <w:rFonts w:hint="eastAsia" w:ascii="仿宋" w:hAnsi="仿宋" w:eastAsia="仿宋" w:cs="DengXian-Regular"/>
          <w:sz w:val="32"/>
          <w:szCs w:val="32"/>
        </w:rPr>
        <w:t>1. 本部门2019年度国有资本经营预算财政拨款无收支及结转结余情况，故公开09表以空表列示。</w:t>
      </w:r>
    </w:p>
    <w:p>
      <w:pPr>
        <w:pStyle w:val="13"/>
        <w:adjustRightInd w:val="0"/>
        <w:snapToGrid w:val="0"/>
        <w:spacing w:after="0" w:line="560" w:lineRule="exact"/>
        <w:ind w:firstLine="640"/>
        <w:rPr>
          <w:rFonts w:ascii="仿宋" w:hAnsi="仿宋" w:eastAsia="仿宋" w:cs="DengXian-Regular"/>
          <w:sz w:val="32"/>
          <w:szCs w:val="32"/>
        </w:rPr>
      </w:pPr>
      <w:r>
        <w:rPr>
          <w:rFonts w:hint="eastAsia" w:ascii="仿宋" w:hAnsi="仿宋" w:eastAsia="仿宋" w:cs="DengXian-Regular"/>
          <w:sz w:val="32"/>
          <w:szCs w:val="32"/>
        </w:rPr>
        <w:t>2. 由于决算公开表格中金额数值应当保留两位小数，公开数据为四舍五入计算结果，个别数据合计项与分项之和存在小数点后差额，特此说明。</w:t>
      </w: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r>
        <w:rPr>
          <w:rFonts w:ascii="仿宋_GB2312" w:hAnsi="Times New Roman" w:eastAsia="仿宋_GB2312" w:cs="DengXian-Regular"/>
          <w:b/>
          <w:sz w:val="32"/>
          <w:szCs w:val="32"/>
        </w:rPr>
        <w:pict>
          <v:shape id="_x0000_s1033" o:spid="_x0000_s1033" o:spt="202" type="#_x0000_t202" style="position:absolute;left:0pt;margin-left:-93.9pt;margin-top:18.05pt;height:263.1pt;width:613.65pt;z-index:251664384;v-text-anchor:middle;mso-width-relative:page;mso-height-relative:page;" fillcolor="#FFD966" filled="t" stroked="t" coordsize="21600,21600">
            <v:path/>
            <v:fill type="pattern" on="t" focussize="0,0"/>
            <v:stroke weight="0.5pt" color="#FFD966" joinstyle="round"/>
            <v:imagedata o:title=""/>
            <o:lock v:ext="edit"/>
            <v:textbox>
              <w:txbxContent>
                <w:p>
                  <w:pPr>
                    <w:widowControl/>
                    <w:jc w:val="center"/>
                  </w:pPr>
                  <w:r>
                    <w:rPr>
                      <w:rFonts w:hint="eastAsia" w:ascii="黑体" w:hAnsi="黑体" w:eastAsia="黑体" w:cs="黑体"/>
                      <w:color w:val="000000"/>
                      <w:sz w:val="90"/>
                      <w:szCs w:val="90"/>
                    </w:rPr>
                    <w:t>第三部分</w:t>
                  </w:r>
                  <w:r>
                    <w:rPr>
                      <w:rFonts w:ascii="黑体" w:hAnsi="黑体" w:eastAsia="黑体" w:cs="黑体"/>
                      <w:color w:val="000000"/>
                      <w:sz w:val="90"/>
                      <w:szCs w:val="90"/>
                    </w:rPr>
                    <w:t xml:space="preserve"> </w:t>
                  </w:r>
                  <w:r>
                    <w:rPr>
                      <w:rFonts w:hint="eastAsia" w:ascii="黑体" w:hAnsi="黑体" w:eastAsia="黑体" w:cs="黑体"/>
                      <w:color w:val="000000"/>
                      <w:sz w:val="90"/>
                      <w:szCs w:val="90"/>
                    </w:rPr>
                    <w:t>相关名词解释</w:t>
                  </w:r>
                </w:p>
              </w:txbxContent>
            </v:textbox>
          </v:shape>
        </w:pict>
      </w: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ind w:firstLine="643" w:firstLineChars="200"/>
        <w:jc w:val="center"/>
        <w:rPr>
          <w:rFonts w:ascii="仿宋_GB2312" w:hAnsi="Times New Roman" w:eastAsia="仿宋_GB2312" w:cs="DengXian-Regular"/>
          <w:b/>
          <w:sz w:val="32"/>
          <w:szCs w:val="32"/>
        </w:rPr>
      </w:pPr>
    </w:p>
    <w:p>
      <w:pPr>
        <w:widowControl/>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（一）财政拨款收入：</w:t>
      </w:r>
      <w:r>
        <w:rPr>
          <w:rFonts w:hint="eastAsia" w:ascii="仿宋" w:hAnsi="仿宋" w:eastAsia="仿宋" w:cs="Times New Roman"/>
          <w:color w:val="000000"/>
          <w:kern w:val="0"/>
          <w:sz w:val="32"/>
          <w:szCs w:val="32"/>
        </w:rPr>
        <w:t>本年度从本级财政部门取得的财政拨款，包括一般公共预算财政拨款和政府性基金预算财政拨款。</w:t>
      </w:r>
    </w:p>
    <w:p>
      <w:pPr>
        <w:widowControl/>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（二）事业收入：</w:t>
      </w:r>
      <w:r>
        <w:rPr>
          <w:rFonts w:hint="eastAsia" w:ascii="仿宋" w:hAnsi="仿宋" w:eastAsia="仿宋" w:cs="Times New Roman"/>
          <w:color w:val="000000"/>
          <w:kern w:val="0"/>
          <w:sz w:val="32"/>
          <w:szCs w:val="32"/>
        </w:rPr>
        <w:t>指事业单位开展专业业务活动及辅助活动所取得的收入。</w:t>
      </w:r>
    </w:p>
    <w:p>
      <w:pPr>
        <w:widowControl/>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（三）其他收入：</w:t>
      </w:r>
      <w:r>
        <w:rPr>
          <w:rFonts w:hint="eastAsia" w:ascii="仿宋" w:hAnsi="仿宋" w:eastAsia="仿宋" w:cs="Times New Roman"/>
          <w:color w:val="000000"/>
          <w:kern w:val="0"/>
          <w:sz w:val="32"/>
          <w:szCs w:val="32"/>
        </w:rPr>
        <w:t>指除上述“财政拨款收入”“事业收入”“经营收入”等以外的收入。</w:t>
      </w:r>
    </w:p>
    <w:p>
      <w:pPr>
        <w:widowControl/>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（四）用事业基金弥补收支差额：</w:t>
      </w:r>
      <w:r>
        <w:rPr>
          <w:rFonts w:hint="eastAsia" w:ascii="仿宋" w:hAnsi="仿宋" w:eastAsia="仿宋" w:cs="Times New Roman"/>
          <w:color w:val="000000"/>
          <w:kern w:val="0"/>
          <w:sz w:val="32"/>
          <w:szCs w:val="32"/>
        </w:rPr>
        <w:t>指事业单位在用当年的“财政拨款收入”“财政拨款结转和结余资金”“事业收入”“经营收入”“其他收入”不足以安排当年支出的情况下，使用以前年度积累的事业基金（事业单位当年收支相抵后按国家规定提取、用于弥补以后年度收支差额的基金）弥补本年度收支缺口的资金。</w:t>
      </w:r>
    </w:p>
    <w:p>
      <w:pPr>
        <w:widowControl/>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（五）年初结转和结余：</w:t>
      </w:r>
      <w:r>
        <w:rPr>
          <w:rFonts w:hint="eastAsia" w:ascii="仿宋" w:hAnsi="仿宋" w:eastAsia="仿宋" w:cs="Times New Roman"/>
          <w:color w:val="000000"/>
          <w:kern w:val="0"/>
          <w:sz w:val="32"/>
          <w:szCs w:val="32"/>
        </w:rPr>
        <w:t>指以前年度尚未完成、结转到本年仍按原规定用途继续使用的资金，或项目已完成等产生的结余资金。</w:t>
      </w:r>
    </w:p>
    <w:p>
      <w:pPr>
        <w:widowControl/>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（六）结余分配：</w:t>
      </w:r>
      <w:r>
        <w:rPr>
          <w:rFonts w:hint="eastAsia" w:ascii="仿宋" w:hAnsi="仿宋" w:eastAsia="仿宋" w:cs="Times New Roman"/>
          <w:color w:val="000000"/>
          <w:kern w:val="0"/>
          <w:sz w:val="32"/>
          <w:szCs w:val="32"/>
        </w:rPr>
        <w:t>指事业单位按照事业单位会计制度的规定从非财政补助结余中分配的事业基金和职工福利基金等。</w:t>
      </w:r>
    </w:p>
    <w:p>
      <w:pPr>
        <w:widowControl/>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（七）年末结转和结余：</w:t>
      </w:r>
      <w:r>
        <w:rPr>
          <w:rFonts w:hint="eastAsia" w:ascii="仿宋" w:hAnsi="仿宋" w:eastAsia="仿宋" w:cs="Times New Roman"/>
          <w:color w:val="000000"/>
          <w:kern w:val="0"/>
          <w:sz w:val="32"/>
          <w:szCs w:val="32"/>
        </w:rPr>
        <w:t>指单位按有关规定结转到下年或以后年度继续使用的资金，或项目已完成等产生的结余资金。</w:t>
      </w:r>
    </w:p>
    <w:p>
      <w:pPr>
        <w:widowControl/>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（八）基本支出：</w:t>
      </w:r>
      <w:r>
        <w:rPr>
          <w:rFonts w:hint="eastAsia" w:ascii="仿宋" w:hAnsi="仿宋" w:eastAsia="仿宋" w:cs="Times New Roman"/>
          <w:color w:val="000000"/>
          <w:kern w:val="0"/>
          <w:sz w:val="32"/>
          <w:szCs w:val="32"/>
        </w:rPr>
        <w:t>填列单位为保障机构正常运转、完成日常工作任务而发生的各项支出。</w:t>
      </w:r>
    </w:p>
    <w:p>
      <w:pPr>
        <w:widowControl/>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（九）项目支出：</w:t>
      </w:r>
      <w:r>
        <w:rPr>
          <w:rFonts w:hint="eastAsia" w:ascii="仿宋" w:hAnsi="仿宋" w:eastAsia="仿宋" w:cs="Times New Roman"/>
          <w:color w:val="000000"/>
          <w:kern w:val="0"/>
          <w:sz w:val="32"/>
          <w:szCs w:val="32"/>
        </w:rPr>
        <w:t>填列单位为完成特定的行政工作任务或事业发展目标，在基本支出之外发生的各项支出</w:t>
      </w:r>
    </w:p>
    <w:p>
      <w:pPr>
        <w:widowControl/>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（十）基本建设支出：</w:t>
      </w:r>
      <w:r>
        <w:rPr>
          <w:rFonts w:hint="eastAsia" w:ascii="仿宋" w:hAnsi="仿宋" w:eastAsia="仿宋" w:cs="Times New Roman"/>
          <w:color w:val="000000"/>
          <w:kern w:val="0"/>
          <w:sz w:val="32"/>
          <w:szCs w:val="32"/>
        </w:rPr>
        <w:t>填列由本级发展与改革部门集中安排的用于购置固定资产、战略性和应急性储备、土地和无形资产，以及购建基础设施、大型修缮所发生的一般公共预算财政拨款支出，不包括政府性基金、财政专户管理资金以及各类拼盘自筹资金等。</w:t>
      </w:r>
    </w:p>
    <w:p>
      <w:pPr>
        <w:widowControl/>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（十一）其他资本性支出：</w:t>
      </w:r>
      <w:r>
        <w:rPr>
          <w:rFonts w:hint="eastAsia" w:ascii="仿宋" w:hAnsi="仿宋" w:eastAsia="仿宋" w:cs="Times New Roman"/>
          <w:color w:val="000000"/>
          <w:kern w:val="0"/>
          <w:sz w:val="32"/>
          <w:szCs w:val="32"/>
        </w:rPr>
        <w:t>填列由各级非发展与改革部门集中安排的用于购置固定资产、战备性和应急性储备、土地和无形资产，以及购建基础设施、大型修缮和财政支持企业更新改造所发生的支出。</w:t>
      </w:r>
    </w:p>
    <w:p>
      <w:pPr>
        <w:snapToGrid w:val="0"/>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（十二）“三公”经费：</w:t>
      </w:r>
      <w:r>
        <w:rPr>
          <w:rFonts w:hint="eastAsia" w:ascii="仿宋" w:hAnsi="仿宋" w:eastAsia="仿宋" w:cs="Times New Roman"/>
          <w:color w:val="000000"/>
          <w:kern w:val="0"/>
          <w:sz w:val="32"/>
          <w:szCs w:val="32"/>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牌照费）及按规定保留的公务用车燃料费、维修费、过桥过路费、保险费、安全奖励费用等支出；公务接待费反映单位按规定开支的各类公务接待（含外宾接待）支出。</w:t>
      </w:r>
    </w:p>
    <w:p>
      <w:pPr>
        <w:snapToGrid w:val="0"/>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（十三）其他交通费用：</w:t>
      </w:r>
      <w:r>
        <w:rPr>
          <w:rFonts w:hint="eastAsia" w:ascii="仿宋" w:hAnsi="仿宋" w:eastAsia="仿宋" w:cs="Times New Roman"/>
          <w:color w:val="000000"/>
          <w:kern w:val="0"/>
          <w:sz w:val="32"/>
          <w:szCs w:val="32"/>
        </w:rPr>
        <w:t>填列单位除公务用车运行维护费以外的其他交通费用。如公务交通补贴、租车费用、出租车费用，飞机、船舶等燃料费、维修费、保险费等。</w:t>
      </w:r>
    </w:p>
    <w:p>
      <w:pPr>
        <w:widowControl/>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（十四）公务用车购置：</w:t>
      </w:r>
      <w:r>
        <w:rPr>
          <w:rFonts w:hint="eastAsia" w:ascii="仿宋" w:hAnsi="仿宋" w:eastAsia="仿宋" w:cs="Times New Roman"/>
          <w:color w:val="000000"/>
          <w:kern w:val="0"/>
          <w:sz w:val="32"/>
          <w:szCs w:val="32"/>
        </w:rPr>
        <w:t>填列单位公务用车车辆购置支出（含车辆购置税、牌照费）。</w:t>
      </w:r>
    </w:p>
    <w:p>
      <w:pPr>
        <w:widowControl/>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（十五）其他交通工具购置：</w:t>
      </w:r>
      <w:r>
        <w:rPr>
          <w:rFonts w:hint="eastAsia" w:ascii="仿宋" w:hAnsi="仿宋" w:eastAsia="仿宋" w:cs="Times New Roman"/>
          <w:color w:val="000000"/>
          <w:kern w:val="0"/>
          <w:sz w:val="32"/>
          <w:szCs w:val="32"/>
        </w:rPr>
        <w:t>填列单位除公务用车外的其他各类交通工具（如船舶、飞机等）购置支出（含车辆购置税、牌照费）。</w:t>
      </w:r>
    </w:p>
    <w:p>
      <w:pPr>
        <w:widowControl/>
        <w:spacing w:line="560" w:lineRule="exact"/>
        <w:ind w:firstLine="643" w:firstLineChars="200"/>
        <w:rPr>
          <w:rFonts w:ascii="仿宋" w:hAnsi="仿宋" w:eastAsia="仿宋" w:cs="Times New Roman"/>
          <w:color w:val="000000"/>
          <w:kern w:val="0"/>
          <w:sz w:val="32"/>
          <w:szCs w:val="32"/>
        </w:rPr>
      </w:pPr>
      <w:r>
        <w:rPr>
          <w:rFonts w:hint="eastAsia" w:ascii="仿宋" w:hAnsi="仿宋" w:eastAsia="仿宋" w:cs="Times New Roman"/>
          <w:b/>
          <w:bCs/>
          <w:color w:val="000000"/>
          <w:kern w:val="0"/>
          <w:sz w:val="32"/>
          <w:szCs w:val="32"/>
        </w:rPr>
        <w:t>（十六）机关运行经费：</w:t>
      </w:r>
      <w:r>
        <w:rPr>
          <w:rFonts w:hint="eastAsia" w:ascii="仿宋" w:hAnsi="仿宋" w:eastAsia="仿宋" w:cs="Times New Roman"/>
          <w:color w:val="000000"/>
          <w:kern w:val="0"/>
          <w:sz w:val="32"/>
          <w:szCs w:val="32"/>
        </w:rPr>
        <w:t>指为保障行政单位（包括参照公务员法管理的事业单位）运行用于购买货物和服务的各项资金，包括办公及印刷费、邮电费、差旅费、会议费、福利费、日常维修费、专用材料以及一般设备购置费、办公用房水电费、办公用房取暖费、办公用房物业管理费、公务用车运行维护费以及其他费用。</w:t>
      </w:r>
    </w:p>
    <w:p>
      <w:pPr>
        <w:tabs>
          <w:tab w:val="left" w:pos="235"/>
        </w:tabs>
        <w:ind w:firstLine="643" w:firstLineChars="200"/>
        <w:jc w:val="left"/>
        <w:rPr>
          <w:rFonts w:ascii="仿宋" w:hAnsi="仿宋" w:eastAsia="仿宋" w:cs="ArialUnicodeMS"/>
          <w:kern w:val="0"/>
          <w:sz w:val="32"/>
          <w:szCs w:val="32"/>
        </w:rPr>
      </w:pPr>
      <w:r>
        <w:rPr>
          <w:rFonts w:hint="eastAsia" w:ascii="仿宋" w:hAnsi="仿宋" w:eastAsia="仿宋" w:cs="Times New Roman"/>
          <w:b/>
          <w:bCs/>
          <w:color w:val="000000"/>
          <w:kern w:val="0"/>
          <w:sz w:val="32"/>
          <w:szCs w:val="32"/>
        </w:rPr>
        <w:t>（十七）经费形式:</w:t>
      </w:r>
      <w:r>
        <w:rPr>
          <w:rFonts w:hint="eastAsia" w:ascii="仿宋" w:hAnsi="仿宋" w:eastAsia="仿宋" w:cs="Times New Roman"/>
          <w:color w:val="000000"/>
          <w:kern w:val="0"/>
          <w:sz w:val="32"/>
          <w:szCs w:val="32"/>
        </w:rPr>
        <w:t>按照经费来源，</w:t>
      </w:r>
      <w:r>
        <w:rPr>
          <w:rFonts w:hint="eastAsia" w:ascii="仿宋" w:hAnsi="仿宋" w:eastAsia="仿宋" w:cs="ArialUnicodeMS"/>
          <w:kern w:val="0"/>
          <w:sz w:val="32"/>
          <w:szCs w:val="32"/>
        </w:rPr>
        <w:t>可分为财政拨款、财政性资金基本保证、财政性资金定额或定项补助、财政性资金零补助四类。</w:t>
      </w: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r>
        <w:rPr>
          <w:rFonts w:ascii="仿宋_GB2312" w:hAnsi="Cambria" w:eastAsia="仿宋_GB2312" w:cs="ArialUnicodeMS"/>
          <w:kern w:val="0"/>
          <w:sz w:val="32"/>
          <w:szCs w:val="32"/>
        </w:rPr>
        <w:pict>
          <v:shape id="_x0000_s1034" o:spid="_x0000_s1034" o:spt="202" type="#_x0000_t202" style="position:absolute;left:0pt;margin-left:-92.65pt;margin-top:-49.65pt;height:263.1pt;width:613.65pt;z-index:-251651072;v-text-anchor:middle;mso-width-relative:page;mso-height-relative:page;" fillcolor="#FFD966" filled="t" stroked="t" coordsize="21600,21600">
            <v:path/>
            <v:fill type="pattern" on="t" focussize="0,0"/>
            <v:stroke weight="0.5pt" color="#FFD966" joinstyle="round"/>
            <v:imagedata o:title=""/>
            <o:lock v:ext="edit"/>
            <v:textbox>
              <w:txbxContent>
                <w:p>
                  <w:pPr>
                    <w:widowControl/>
                    <w:jc w:val="center"/>
                    <w:rPr>
                      <w:rFonts w:ascii="黑体" w:hAnsi="黑体" w:eastAsia="黑体" w:cs="黑体"/>
                      <w:color w:val="000000"/>
                      <w:sz w:val="90"/>
                      <w:szCs w:val="90"/>
                    </w:rPr>
                  </w:pPr>
                  <w:r>
                    <w:rPr>
                      <w:rFonts w:hint="eastAsia" w:ascii="黑体" w:hAnsi="黑体" w:eastAsia="黑体" w:cs="黑体"/>
                      <w:color w:val="000000"/>
                      <w:sz w:val="90"/>
                      <w:szCs w:val="90"/>
                    </w:rPr>
                    <w:t>第四部分</w:t>
                  </w:r>
                  <w:r>
                    <w:rPr>
                      <w:rFonts w:ascii="黑体" w:hAnsi="黑体" w:eastAsia="黑体" w:cs="黑体"/>
                      <w:color w:val="000000"/>
                      <w:sz w:val="90"/>
                      <w:szCs w:val="90"/>
                    </w:rPr>
                    <w:t xml:space="preserve"> </w:t>
                  </w:r>
                </w:p>
                <w:p>
                  <w:pPr>
                    <w:widowControl/>
                    <w:jc w:val="center"/>
                  </w:pPr>
                  <w:r>
                    <w:rPr>
                      <w:rFonts w:ascii="黑体" w:hAnsi="黑体" w:eastAsia="黑体" w:cs="黑体"/>
                      <w:color w:val="000000"/>
                      <w:sz w:val="90"/>
                      <w:szCs w:val="90"/>
                    </w:rPr>
                    <w:t>2019</w:t>
                  </w:r>
                  <w:r>
                    <w:rPr>
                      <w:rFonts w:hint="eastAsia" w:ascii="黑体" w:hAnsi="黑体" w:eastAsia="黑体" w:cs="黑体"/>
                      <w:color w:val="000000"/>
                      <w:sz w:val="90"/>
                      <w:szCs w:val="90"/>
                    </w:rPr>
                    <w:t>年度部门决算报表</w:t>
                  </w:r>
                </w:p>
              </w:txbxContent>
            </v:textbox>
          </v:shape>
        </w:pict>
      </w: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tabs>
          <w:tab w:val="left" w:pos="235"/>
        </w:tabs>
        <w:jc w:val="left"/>
        <w:rPr>
          <w:rFonts w:ascii="仿宋_GB2312" w:hAnsi="Cambria" w:eastAsia="仿宋_GB2312" w:cs="ArialUnicodeMS"/>
          <w:kern w:val="0"/>
          <w:sz w:val="32"/>
          <w:szCs w:val="32"/>
        </w:rPr>
      </w:pPr>
    </w:p>
    <w:p>
      <w:pPr>
        <w:ind w:firstLine="640" w:firstLineChars="200"/>
        <w:jc w:val="left"/>
        <w:rPr>
          <w:rFonts w:ascii="仿宋" w:hAnsi="仿宋" w:eastAsia="仿宋" w:cs="DengXian-Regular"/>
          <w:sz w:val="32"/>
          <w:szCs w:val="32"/>
        </w:rPr>
      </w:pPr>
      <w:r>
        <w:rPr>
          <w:rFonts w:hint="eastAsia" w:ascii="仿宋" w:hAnsi="仿宋" w:eastAsia="仿宋" w:cs="DengXian-Regular"/>
          <w:sz w:val="32"/>
          <w:szCs w:val="32"/>
        </w:rPr>
        <w:t>1、收入支出决算总表</w:t>
      </w:r>
    </w:p>
    <w:p>
      <w:pPr>
        <w:ind w:firstLine="640" w:firstLineChars="200"/>
        <w:jc w:val="left"/>
        <w:rPr>
          <w:rFonts w:ascii="仿宋" w:hAnsi="仿宋" w:eastAsia="仿宋" w:cs="DengXian-Regular"/>
          <w:sz w:val="32"/>
          <w:szCs w:val="32"/>
        </w:rPr>
      </w:pPr>
      <w:r>
        <w:rPr>
          <w:rFonts w:hint="eastAsia" w:ascii="仿宋" w:hAnsi="仿宋" w:eastAsia="仿宋" w:cs="DengXian-Regular"/>
          <w:sz w:val="32"/>
          <w:szCs w:val="32"/>
        </w:rPr>
        <w:t>2、收入决算表</w:t>
      </w:r>
    </w:p>
    <w:p>
      <w:pPr>
        <w:ind w:firstLine="640" w:firstLineChars="200"/>
        <w:jc w:val="left"/>
        <w:rPr>
          <w:rFonts w:ascii="仿宋" w:hAnsi="仿宋" w:eastAsia="仿宋" w:cs="DengXian-Regular"/>
          <w:sz w:val="32"/>
          <w:szCs w:val="32"/>
        </w:rPr>
      </w:pPr>
      <w:r>
        <w:rPr>
          <w:rFonts w:hint="eastAsia" w:ascii="仿宋" w:hAnsi="仿宋" w:eastAsia="仿宋" w:cs="DengXian-Regular"/>
          <w:sz w:val="32"/>
          <w:szCs w:val="32"/>
        </w:rPr>
        <w:t>3、支出决算表</w:t>
      </w:r>
    </w:p>
    <w:p>
      <w:pPr>
        <w:ind w:firstLine="640" w:firstLineChars="200"/>
        <w:jc w:val="left"/>
        <w:rPr>
          <w:rFonts w:ascii="仿宋" w:hAnsi="仿宋" w:eastAsia="仿宋" w:cs="DengXian-Regular"/>
          <w:sz w:val="32"/>
          <w:szCs w:val="32"/>
        </w:rPr>
      </w:pPr>
      <w:r>
        <w:rPr>
          <w:rFonts w:hint="eastAsia" w:ascii="仿宋" w:hAnsi="仿宋" w:eastAsia="仿宋" w:cs="DengXian-Regular"/>
          <w:sz w:val="32"/>
          <w:szCs w:val="32"/>
        </w:rPr>
        <w:t>4、财政拨款收入支出决算总表</w:t>
      </w:r>
    </w:p>
    <w:p>
      <w:pPr>
        <w:ind w:firstLine="640" w:firstLineChars="200"/>
        <w:jc w:val="left"/>
        <w:rPr>
          <w:rFonts w:ascii="仿宋" w:hAnsi="仿宋" w:eastAsia="仿宋" w:cs="DengXian-Regular"/>
          <w:sz w:val="32"/>
          <w:szCs w:val="32"/>
        </w:rPr>
      </w:pPr>
      <w:r>
        <w:rPr>
          <w:rFonts w:hint="eastAsia" w:ascii="仿宋" w:hAnsi="仿宋" w:eastAsia="仿宋" w:cs="DengXian-Regular"/>
          <w:sz w:val="32"/>
          <w:szCs w:val="32"/>
        </w:rPr>
        <w:t>5、一般公共预算财政拨款支出决算表</w:t>
      </w:r>
    </w:p>
    <w:p>
      <w:pPr>
        <w:ind w:firstLine="640" w:firstLineChars="200"/>
        <w:jc w:val="left"/>
        <w:rPr>
          <w:rFonts w:ascii="仿宋" w:hAnsi="仿宋" w:eastAsia="仿宋" w:cs="DengXian-Regular"/>
          <w:sz w:val="32"/>
          <w:szCs w:val="32"/>
        </w:rPr>
      </w:pPr>
      <w:r>
        <w:rPr>
          <w:rFonts w:hint="eastAsia" w:ascii="仿宋" w:hAnsi="仿宋" w:eastAsia="仿宋" w:cs="DengXian-Regular"/>
          <w:sz w:val="32"/>
          <w:szCs w:val="32"/>
        </w:rPr>
        <w:t>6、一般公共预算财政拨款基本支出决算表</w:t>
      </w:r>
    </w:p>
    <w:p>
      <w:pPr>
        <w:ind w:firstLine="640" w:firstLineChars="200"/>
        <w:jc w:val="left"/>
        <w:rPr>
          <w:rFonts w:ascii="仿宋" w:hAnsi="仿宋" w:eastAsia="仿宋" w:cs="DengXian-Regular"/>
          <w:sz w:val="32"/>
          <w:szCs w:val="32"/>
        </w:rPr>
      </w:pPr>
      <w:r>
        <w:rPr>
          <w:rFonts w:hint="eastAsia" w:ascii="仿宋" w:hAnsi="仿宋" w:eastAsia="仿宋" w:cs="DengXian-Regular"/>
          <w:sz w:val="32"/>
          <w:szCs w:val="32"/>
        </w:rPr>
        <w:t>7、一般公共预算财政拨款“三公”经费支出决算表</w:t>
      </w:r>
    </w:p>
    <w:p>
      <w:pPr>
        <w:ind w:firstLine="640" w:firstLineChars="200"/>
        <w:jc w:val="left"/>
        <w:rPr>
          <w:rFonts w:ascii="仿宋" w:hAnsi="仿宋" w:eastAsia="仿宋" w:cs="DengXian-Regular"/>
          <w:sz w:val="32"/>
          <w:szCs w:val="32"/>
        </w:rPr>
      </w:pPr>
      <w:r>
        <w:rPr>
          <w:rFonts w:hint="eastAsia" w:ascii="仿宋" w:hAnsi="仿宋" w:eastAsia="仿宋" w:cs="DengXian-Regular"/>
          <w:sz w:val="32"/>
          <w:szCs w:val="32"/>
        </w:rPr>
        <w:t>8、政府性基金预算财政拨款收入支出决算表</w:t>
      </w:r>
    </w:p>
    <w:p>
      <w:pPr>
        <w:ind w:firstLine="640" w:firstLineChars="200"/>
        <w:jc w:val="left"/>
        <w:rPr>
          <w:rFonts w:ascii="仿宋" w:hAnsi="仿宋" w:eastAsia="仿宋" w:cs="DengXian-Regular"/>
          <w:sz w:val="32"/>
          <w:szCs w:val="32"/>
        </w:rPr>
      </w:pPr>
      <w:r>
        <w:rPr>
          <w:rFonts w:hint="eastAsia" w:ascii="仿宋" w:hAnsi="仿宋" w:eastAsia="仿宋" w:cs="DengXian-Regular"/>
          <w:sz w:val="32"/>
          <w:szCs w:val="32"/>
        </w:rPr>
        <w:t>9、国有资本经营预算拨款支出决算表</w:t>
      </w:r>
    </w:p>
    <w:p>
      <w:pPr>
        <w:jc w:val="left"/>
        <w:rPr>
          <w:rFonts w:ascii="仿宋" w:hAnsi="仿宋" w:eastAsia="仿宋" w:cs="DengXian-Regular"/>
          <w:sz w:val="32"/>
          <w:szCs w:val="32"/>
        </w:rPr>
      </w:pPr>
    </w:p>
    <w:p>
      <w:pPr>
        <w:ind w:firstLine="1920" w:firstLineChars="600"/>
        <w:jc w:val="left"/>
        <w:rPr>
          <w:rFonts w:ascii="仿宋" w:hAnsi="仿宋" w:eastAsia="仿宋" w:cs="DengXian-Regular"/>
          <w:sz w:val="32"/>
          <w:szCs w:val="32"/>
        </w:rPr>
      </w:pPr>
      <w:r>
        <w:rPr>
          <w:rFonts w:hint="eastAsia" w:ascii="仿宋" w:hAnsi="仿宋" w:eastAsia="仿宋" w:cs="DengXian-Regular"/>
          <w:sz w:val="32"/>
          <w:szCs w:val="32"/>
        </w:rPr>
        <w:t>（本部分报表，公开时另附）</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Yu Gothic UI Semibold">
    <w:panose1 w:val="020B0700000000000000"/>
    <w:charset w:val="80"/>
    <w:family w:val="swiss"/>
    <w:pitch w:val="default"/>
    <w:sig w:usb0="E00002FF" w:usb1="2AC7FDFF" w:usb2="00000016" w:usb3="00000000" w:csb0="2002009F" w:csb1="00000000"/>
  </w:font>
  <w:font w:name="思源黑体 HW Bold">
    <w:altName w:val="宋体"/>
    <w:panose1 w:val="00000000000000000000"/>
    <w:charset w:val="86"/>
    <w:family w:val="swiss"/>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0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00000" w:csb1="00000000"/>
  </w:font>
  <w:font w:name="ArialUnicodeMS">
    <w:altName w:val="Malgun Gothic"/>
    <w:panose1 w:val="00000000000000000000"/>
    <w:charset w:val="81"/>
    <w:family w:val="auto"/>
    <w:pitch w:val="default"/>
    <w:sig w:usb0="00000000" w:usb1="00000000" w:usb2="00000010" w:usb3="00000000" w:csb0="00080001" w:csb1="00000000"/>
  </w:font>
  <w:font w:name="DengXian-Regular">
    <w:altName w:val="宋体"/>
    <w:panose1 w:val="00000000000000000000"/>
    <w:charset w:val="86"/>
    <w:family w:val="auto"/>
    <w:pitch w:val="default"/>
    <w:sig w:usb0="00000000" w:usb1="00000000" w:usb2="00000010" w:usb3="00000000" w:csb0="00040001" w:csb1="00000000"/>
  </w:font>
  <w:font w:name="DengXian-Bold">
    <w:altName w:val="宋体"/>
    <w:panose1 w:val="00000000000000000000"/>
    <w:charset w:val="86"/>
    <w:family w:val="auto"/>
    <w:pitch w:val="default"/>
    <w:sig w:usb0="00000000" w:usb1="00000000" w:usb2="00000010" w:usb3="00000000" w:csb0="00040001" w:csb1="0000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14632397"/>
      <w:docPartObj>
        <w:docPartGallery w:val="AutoText"/>
      </w:docPartObj>
    </w:sdtPr>
    <w:sdtContent>
      <w:p>
        <w:pPr>
          <w:pStyle w:val="4"/>
          <w:jc w:val="center"/>
        </w:pPr>
        <w:r>
          <w:fldChar w:fldCharType="begin"/>
        </w:r>
        <w:r>
          <w:instrText xml:space="preserve">PAGE   \* MERGEFORMAT</w:instrText>
        </w:r>
        <w:r>
          <w:fldChar w:fldCharType="separate"/>
        </w:r>
        <w:r>
          <w:rPr>
            <w:lang w:val="zh-CN"/>
          </w:rPr>
          <w:t>22</w:t>
        </w:r>
        <w:r>
          <w:fldChar w:fldCharType="end"/>
        </w:r>
      </w:p>
    </w:sdtContent>
  </w:sdt>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6937080"/>
    <w:multiLevelType w:val="multilevel"/>
    <w:tmpl w:val="36937080"/>
    <w:lvl w:ilvl="0" w:tentative="0">
      <w:start w:val="1"/>
      <w:numFmt w:val="chineseCountingThousand"/>
      <w:lvlText w:val="(%1)"/>
      <w:lvlJc w:val="left"/>
      <w:pPr>
        <w:ind w:left="1554" w:hanging="420"/>
      </w:pPr>
    </w:lvl>
    <w:lvl w:ilvl="1" w:tentative="0">
      <w:start w:val="1"/>
      <w:numFmt w:val="lowerLetter"/>
      <w:lvlText w:val="%2)"/>
      <w:lvlJc w:val="left"/>
      <w:pPr>
        <w:ind w:left="2120" w:hanging="420"/>
      </w:pPr>
    </w:lvl>
    <w:lvl w:ilvl="2" w:tentative="0">
      <w:start w:val="1"/>
      <w:numFmt w:val="lowerRoman"/>
      <w:lvlText w:val="%3."/>
      <w:lvlJc w:val="right"/>
      <w:pPr>
        <w:ind w:left="2540" w:hanging="420"/>
      </w:pPr>
    </w:lvl>
    <w:lvl w:ilvl="3" w:tentative="0">
      <w:start w:val="1"/>
      <w:numFmt w:val="decimal"/>
      <w:lvlText w:val="%4."/>
      <w:lvlJc w:val="left"/>
      <w:pPr>
        <w:ind w:left="2960" w:hanging="420"/>
      </w:pPr>
    </w:lvl>
    <w:lvl w:ilvl="4" w:tentative="0">
      <w:start w:val="1"/>
      <w:numFmt w:val="lowerLetter"/>
      <w:lvlText w:val="%5)"/>
      <w:lvlJc w:val="left"/>
      <w:pPr>
        <w:ind w:left="3380" w:hanging="420"/>
      </w:pPr>
    </w:lvl>
    <w:lvl w:ilvl="5" w:tentative="0">
      <w:start w:val="1"/>
      <w:numFmt w:val="lowerRoman"/>
      <w:lvlText w:val="%6."/>
      <w:lvlJc w:val="right"/>
      <w:pPr>
        <w:ind w:left="3800" w:hanging="420"/>
      </w:pPr>
    </w:lvl>
    <w:lvl w:ilvl="6" w:tentative="0">
      <w:start w:val="1"/>
      <w:numFmt w:val="decimal"/>
      <w:lvlText w:val="%7."/>
      <w:lvlJc w:val="left"/>
      <w:pPr>
        <w:ind w:left="4220" w:hanging="420"/>
      </w:pPr>
    </w:lvl>
    <w:lvl w:ilvl="7" w:tentative="0">
      <w:start w:val="1"/>
      <w:numFmt w:val="lowerLetter"/>
      <w:lvlText w:val="%8)"/>
      <w:lvlJc w:val="left"/>
      <w:pPr>
        <w:ind w:left="4640" w:hanging="420"/>
      </w:pPr>
    </w:lvl>
    <w:lvl w:ilvl="8" w:tentative="0">
      <w:start w:val="1"/>
      <w:numFmt w:val="lowerRoman"/>
      <w:lvlText w:val="%9."/>
      <w:lvlJc w:val="right"/>
      <w:pPr>
        <w:ind w:left="5060" w:hanging="420"/>
      </w:pPr>
    </w:lvl>
  </w:abstractNum>
  <w:abstractNum w:abstractNumId="1">
    <w:nsid w:val="45DB9A87"/>
    <w:multiLevelType w:val="singleLevel"/>
    <w:tmpl w:val="45DB9A87"/>
    <w:lvl w:ilvl="0" w:tentative="0">
      <w:start w:val="3"/>
      <w:numFmt w:val="chineseCounting"/>
      <w:suff w:val="nothing"/>
      <w:lvlText w:val="（%1）"/>
      <w:lvlJc w:val="left"/>
      <w:rPr>
        <w:rFonts w:hint="eastAsia"/>
      </w:rPr>
    </w:lvl>
  </w:abstractNum>
  <w:abstractNum w:abstractNumId="2">
    <w:nsid w:val="5AC460FD"/>
    <w:multiLevelType w:val="multilevel"/>
    <w:tmpl w:val="5AC460FD"/>
    <w:lvl w:ilvl="0" w:tentative="0">
      <w:start w:val="2"/>
      <w:numFmt w:val="japaneseCounting"/>
      <w:lvlText w:val="（%1）"/>
      <w:lvlJc w:val="left"/>
      <w:pPr>
        <w:ind w:left="1723" w:hanging="1080"/>
      </w:pPr>
      <w:rPr>
        <w:rFonts w:hint="default" w:ascii="楷体_GB2312" w:eastAsia="楷体_GB2312"/>
      </w:rPr>
    </w:lvl>
    <w:lvl w:ilvl="1" w:tentative="0">
      <w:start w:val="1"/>
      <w:numFmt w:val="lowerLetter"/>
      <w:lvlText w:val="%2)"/>
      <w:lvlJc w:val="left"/>
      <w:pPr>
        <w:ind w:left="1483" w:hanging="420"/>
      </w:pPr>
    </w:lvl>
    <w:lvl w:ilvl="2" w:tentative="0">
      <w:start w:val="1"/>
      <w:numFmt w:val="lowerRoman"/>
      <w:lvlText w:val="%3."/>
      <w:lvlJc w:val="right"/>
      <w:pPr>
        <w:ind w:left="1903" w:hanging="420"/>
      </w:pPr>
    </w:lvl>
    <w:lvl w:ilvl="3" w:tentative="0">
      <w:start w:val="1"/>
      <w:numFmt w:val="decimal"/>
      <w:lvlText w:val="%4."/>
      <w:lvlJc w:val="left"/>
      <w:pPr>
        <w:ind w:left="2323" w:hanging="420"/>
      </w:pPr>
    </w:lvl>
    <w:lvl w:ilvl="4" w:tentative="0">
      <w:start w:val="1"/>
      <w:numFmt w:val="lowerLetter"/>
      <w:lvlText w:val="%5)"/>
      <w:lvlJc w:val="left"/>
      <w:pPr>
        <w:ind w:left="2743" w:hanging="420"/>
      </w:pPr>
    </w:lvl>
    <w:lvl w:ilvl="5" w:tentative="0">
      <w:start w:val="1"/>
      <w:numFmt w:val="lowerRoman"/>
      <w:lvlText w:val="%6."/>
      <w:lvlJc w:val="right"/>
      <w:pPr>
        <w:ind w:left="3163" w:hanging="420"/>
      </w:pPr>
    </w:lvl>
    <w:lvl w:ilvl="6" w:tentative="0">
      <w:start w:val="1"/>
      <w:numFmt w:val="decimal"/>
      <w:lvlText w:val="%7."/>
      <w:lvlJc w:val="left"/>
      <w:pPr>
        <w:ind w:left="3583" w:hanging="420"/>
      </w:pPr>
    </w:lvl>
    <w:lvl w:ilvl="7" w:tentative="0">
      <w:start w:val="1"/>
      <w:numFmt w:val="lowerLetter"/>
      <w:lvlText w:val="%8)"/>
      <w:lvlJc w:val="left"/>
      <w:pPr>
        <w:ind w:left="4003" w:hanging="420"/>
      </w:pPr>
    </w:lvl>
    <w:lvl w:ilvl="8" w:tentative="0">
      <w:start w:val="1"/>
      <w:numFmt w:val="lowerRoman"/>
      <w:lvlText w:val="%9."/>
      <w:lvlJc w:val="right"/>
      <w:pPr>
        <w:ind w:left="4423" w:hanging="420"/>
      </w:pPr>
    </w:lvl>
  </w:abstractNum>
  <w:abstractNum w:abstractNumId="3">
    <w:nsid w:val="78C1413D"/>
    <w:multiLevelType w:val="singleLevel"/>
    <w:tmpl w:val="78C1413D"/>
    <w:lvl w:ilvl="0" w:tentative="0">
      <w:start w:val="1"/>
      <w:numFmt w:val="decimal"/>
      <w:suff w:val="space"/>
      <w:lvlText w:val="%1."/>
      <w:lvlJc w:val="left"/>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TRkOTk4NTI5MTIzZTU2NTZiNWFlMTNhOTRjNjcyMWQifQ=="/>
  </w:docVars>
  <w:rsids>
    <w:rsidRoot w:val="007F2892"/>
    <w:rsid w:val="00034CA1"/>
    <w:rsid w:val="00074C6B"/>
    <w:rsid w:val="000921A2"/>
    <w:rsid w:val="000A7FAA"/>
    <w:rsid w:val="000B3483"/>
    <w:rsid w:val="000C4437"/>
    <w:rsid w:val="000E58D2"/>
    <w:rsid w:val="0012620C"/>
    <w:rsid w:val="001679FE"/>
    <w:rsid w:val="00174836"/>
    <w:rsid w:val="00183EEC"/>
    <w:rsid w:val="001C18FE"/>
    <w:rsid w:val="001C560B"/>
    <w:rsid w:val="00207499"/>
    <w:rsid w:val="00211EF4"/>
    <w:rsid w:val="00216DB5"/>
    <w:rsid w:val="00254CC3"/>
    <w:rsid w:val="0026381B"/>
    <w:rsid w:val="00263AF1"/>
    <w:rsid w:val="002B2814"/>
    <w:rsid w:val="002B7BAF"/>
    <w:rsid w:val="002C2BC3"/>
    <w:rsid w:val="002F26B4"/>
    <w:rsid w:val="003065EA"/>
    <w:rsid w:val="00316729"/>
    <w:rsid w:val="00337E48"/>
    <w:rsid w:val="00385C29"/>
    <w:rsid w:val="00394E6C"/>
    <w:rsid w:val="003A108B"/>
    <w:rsid w:val="003C695F"/>
    <w:rsid w:val="003E04AD"/>
    <w:rsid w:val="004021E3"/>
    <w:rsid w:val="004A67E6"/>
    <w:rsid w:val="004D79C7"/>
    <w:rsid w:val="004F7C67"/>
    <w:rsid w:val="00511078"/>
    <w:rsid w:val="005507DE"/>
    <w:rsid w:val="0056294B"/>
    <w:rsid w:val="0057123C"/>
    <w:rsid w:val="00593C93"/>
    <w:rsid w:val="005A1C1A"/>
    <w:rsid w:val="005C3D07"/>
    <w:rsid w:val="005E731D"/>
    <w:rsid w:val="00627300"/>
    <w:rsid w:val="0068198A"/>
    <w:rsid w:val="006D05DA"/>
    <w:rsid w:val="00750C7C"/>
    <w:rsid w:val="00753B78"/>
    <w:rsid w:val="00756DE7"/>
    <w:rsid w:val="007A79F7"/>
    <w:rsid w:val="007B03FF"/>
    <w:rsid w:val="007F2892"/>
    <w:rsid w:val="00804513"/>
    <w:rsid w:val="008175EF"/>
    <w:rsid w:val="00873F00"/>
    <w:rsid w:val="00893AB2"/>
    <w:rsid w:val="00896FF8"/>
    <w:rsid w:val="008A632D"/>
    <w:rsid w:val="008A65B7"/>
    <w:rsid w:val="008B6D75"/>
    <w:rsid w:val="008C4133"/>
    <w:rsid w:val="008C4CC9"/>
    <w:rsid w:val="00917F4E"/>
    <w:rsid w:val="00937A75"/>
    <w:rsid w:val="009474EF"/>
    <w:rsid w:val="009A0A32"/>
    <w:rsid w:val="009C6A9A"/>
    <w:rsid w:val="009E048A"/>
    <w:rsid w:val="00A17F57"/>
    <w:rsid w:val="00A655F8"/>
    <w:rsid w:val="00AB571E"/>
    <w:rsid w:val="00AD79EA"/>
    <w:rsid w:val="00B37D62"/>
    <w:rsid w:val="00B611A7"/>
    <w:rsid w:val="00BA7EAD"/>
    <w:rsid w:val="00BB5F30"/>
    <w:rsid w:val="00BC0CDC"/>
    <w:rsid w:val="00BD42E4"/>
    <w:rsid w:val="00BF1E30"/>
    <w:rsid w:val="00C0273C"/>
    <w:rsid w:val="00C138B7"/>
    <w:rsid w:val="00C30865"/>
    <w:rsid w:val="00C5654C"/>
    <w:rsid w:val="00CB3CE9"/>
    <w:rsid w:val="00CB69D7"/>
    <w:rsid w:val="00CC5671"/>
    <w:rsid w:val="00CD1243"/>
    <w:rsid w:val="00D10A39"/>
    <w:rsid w:val="00D27412"/>
    <w:rsid w:val="00D637A8"/>
    <w:rsid w:val="00D65C9B"/>
    <w:rsid w:val="00D7687F"/>
    <w:rsid w:val="00DB468B"/>
    <w:rsid w:val="00E73B01"/>
    <w:rsid w:val="00E91809"/>
    <w:rsid w:val="00EA3165"/>
    <w:rsid w:val="00EA421E"/>
    <w:rsid w:val="00EC0EF8"/>
    <w:rsid w:val="00F61024"/>
    <w:rsid w:val="00F65E20"/>
    <w:rsid w:val="00F96E1E"/>
    <w:rsid w:val="00FA7AEC"/>
    <w:rsid w:val="00FC10D3"/>
    <w:rsid w:val="00FF13D7"/>
    <w:rsid w:val="00FF2DCF"/>
    <w:rsid w:val="7CF61EE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1"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1"/>
    <w:semiHidden/>
    <w:unhideWhenUsed/>
    <w:uiPriority w:val="99"/>
    <w:pPr>
      <w:ind w:left="100" w:leftChars="2500"/>
    </w:pPr>
  </w:style>
  <w:style w:type="paragraph" w:styleId="3">
    <w:name w:val="Balloon Text"/>
    <w:basedOn w:val="1"/>
    <w:link w:val="12"/>
    <w:semiHidden/>
    <w:unhideWhenUsed/>
    <w:uiPriority w:val="99"/>
    <w:rPr>
      <w:sz w:val="18"/>
      <w:szCs w:val="18"/>
    </w:rPr>
  </w:style>
  <w:style w:type="paragraph" w:styleId="4">
    <w:name w:val="footer"/>
    <w:basedOn w:val="1"/>
    <w:link w:val="10"/>
    <w:unhideWhenUsed/>
    <w:uiPriority w:val="99"/>
    <w:pPr>
      <w:tabs>
        <w:tab w:val="center" w:pos="4153"/>
        <w:tab w:val="right" w:pos="8306"/>
      </w:tabs>
      <w:snapToGrid w:val="0"/>
      <w:jc w:val="left"/>
    </w:pPr>
    <w:rPr>
      <w:sz w:val="18"/>
      <w:szCs w:val="18"/>
    </w:rPr>
  </w:style>
  <w:style w:type="paragraph" w:styleId="5">
    <w:name w:val="header"/>
    <w:basedOn w:val="1"/>
    <w:link w:val="9"/>
    <w:unhideWhenUsed/>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1"/>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
    <w:name w:val="页眉 Char"/>
    <w:basedOn w:val="8"/>
    <w:link w:val="5"/>
    <w:uiPriority w:val="99"/>
    <w:rPr>
      <w:sz w:val="18"/>
      <w:szCs w:val="18"/>
    </w:rPr>
  </w:style>
  <w:style w:type="character" w:customStyle="1" w:styleId="10">
    <w:name w:val="页脚 Char"/>
    <w:basedOn w:val="8"/>
    <w:link w:val="4"/>
    <w:uiPriority w:val="99"/>
    <w:rPr>
      <w:sz w:val="18"/>
      <w:szCs w:val="18"/>
    </w:rPr>
  </w:style>
  <w:style w:type="character" w:customStyle="1" w:styleId="11">
    <w:name w:val="日期 Char"/>
    <w:basedOn w:val="8"/>
    <w:link w:val="2"/>
    <w:semiHidden/>
    <w:uiPriority w:val="99"/>
  </w:style>
  <w:style w:type="character" w:customStyle="1" w:styleId="12">
    <w:name w:val="批注框文本 Char"/>
    <w:basedOn w:val="8"/>
    <w:link w:val="3"/>
    <w:semiHidden/>
    <w:uiPriority w:val="99"/>
    <w:rPr>
      <w:sz w:val="18"/>
      <w:szCs w:val="18"/>
    </w:rPr>
  </w:style>
  <w:style w:type="paragraph" w:styleId="13">
    <w:name w:val="List Paragraph"/>
    <w:basedOn w:val="1"/>
    <w:unhideWhenUsed/>
    <w:qFormat/>
    <w:uiPriority w:val="34"/>
    <w:pPr>
      <w:spacing w:after="160" w:line="480" w:lineRule="auto"/>
      <w:ind w:firstLine="420" w:firstLineChars="200"/>
    </w:pPr>
    <w:rPr>
      <w:rFonts w:ascii="Times New Roman" w:hAnsi="Times New Roman" w:eastAsia="宋体" w:cs="Times New Roman"/>
      <w:szCs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chart" Target="charts/chart2.xml"/><Relationship Id="rId5" Type="http://schemas.openxmlformats.org/officeDocument/2006/relationships/chart" Target="charts/chart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package" Target="../embeddings/Workbook2.xlsx"/></Relationships>
</file>

<file path=word/charts/_rels/chart2.xml.rels><?xml version="1.0" encoding="UTF-8" standalone="yes"?>
<Relationships xmlns="http://schemas.openxmlformats.org/package/2006/relationships"><Relationship Id="rId1" Type="http://schemas.openxmlformats.org/officeDocument/2006/relationships/package" Target="../embeddings/Workbook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4"/>
    </mc:Choice>
    <mc:Fallback>
      <c:style val="4"/>
    </mc:Fallback>
  </mc:AlternateContent>
  <c:chart>
    <c:title>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view3D>
      <c:rotX val="30"/>
      <c:rotY val="0"/>
      <c:depthPercent val="100"/>
      <c:rAngAx val="0"/>
      <c:perspective val="30"/>
    </c:view3D>
    <c:floor>
      <c:thickness val="0"/>
    </c:floor>
    <c:sideWall>
      <c:thickness val="0"/>
    </c:sideWall>
    <c:backWall>
      <c:thickness val="0"/>
    </c:backWall>
    <c:plotArea>
      <c:layout/>
      <c:pie3DChart>
        <c:varyColors val="1"/>
        <c:ser>
          <c:idx val="0"/>
          <c:order val="0"/>
          <c:tx>
            <c:strRef>
              <c:f>Sheet1!$B$1</c:f>
              <c:strCache>
                <c:ptCount val="1"/>
                <c:pt idx="0">
                  <c:v>支出构成情况</c:v>
                </c:pt>
              </c:strCache>
            </c:strRef>
          </c:tx>
          <c:explosion val="0"/>
          <c:dPt>
            <c:idx val="0"/>
            <c:bubble3D val="0"/>
          </c:dPt>
          <c:dPt>
            <c:idx val="1"/>
            <c:bubble3D val="0"/>
          </c:dPt>
          <c:dLbls>
            <c:dLbl>
              <c:idx val="0"/>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altLang="zh-CN"/>
                      <a:t>39.48%</a:t>
                    </a:r>
                    <a:endParaRPr lang="en-US" altLang="zh-CN"/>
                  </a:p>
                </c:rich>
              </c:tx>
              <c:dLblPos val="bestFit"/>
              <c:showLegendKey val="0"/>
              <c:showVal val="0"/>
              <c:showCatName val="0"/>
              <c:showSerName val="0"/>
              <c:showPercent val="1"/>
              <c:showBubbleSize val="0"/>
              <c:extLst>
                <c:ext xmlns:c15="http://schemas.microsoft.com/office/drawing/2012/chart" uri="{CE6537A1-D6FC-4f65-9D91-7224C49458BB}"/>
              </c:extLst>
            </c:dLbl>
            <c:dLbl>
              <c:idx val="1"/>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altLang="zh-CN"/>
                      <a:t>60.52%</a:t>
                    </a:r>
                    <a:endParaRPr lang="en-US" altLang="zh-CN"/>
                  </a:p>
                </c:rich>
              </c:tx>
              <c:dLblPos val="bestFit"/>
              <c:showLegendKey val="0"/>
              <c:showVal val="0"/>
              <c:showCatName val="0"/>
              <c:showSerName val="0"/>
              <c:showPercent val="1"/>
              <c:showBubbleSize val="0"/>
              <c:extLst>
                <c:ext xmlns:c15="http://schemas.microsoft.com/office/drawing/2012/chart" uri="{CE6537A1-D6FC-4f65-9D91-7224C49458BB}"/>
              </c:extLst>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ext>
            </c:extLst>
          </c:dLbls>
          <c:cat>
            <c:strRef>
              <c:f>Sheet1!$A$2:$A$3</c:f>
              <c:strCache>
                <c:ptCount val="2"/>
                <c:pt idx="0">
                  <c:v>基本支出</c:v>
                </c:pt>
                <c:pt idx="1">
                  <c:v>项目支出</c:v>
                </c:pt>
              </c:strCache>
            </c:strRef>
          </c:cat>
          <c:val>
            <c:numRef>
              <c:f>Sheet1!$B$2:$B$3</c:f>
              <c:numCache>
                <c:formatCode>General</c:formatCode>
                <c:ptCount val="2"/>
                <c:pt idx="0">
                  <c:v>39.48</c:v>
                </c:pt>
                <c:pt idx="1">
                  <c:v>60.52</c:v>
                </c:pt>
              </c:numCache>
            </c:numRef>
          </c:val>
        </c:ser>
        <c:dLbls>
          <c:showLegendKey val="0"/>
          <c:showVal val="0"/>
          <c:showCatName val="0"/>
          <c:showSerName val="0"/>
          <c:showPercent val="1"/>
          <c:showBubbleSize val="0"/>
        </c:dLbls>
      </c:pie3DChart>
    </c:plotArea>
    <c:legend>
      <c:legendPos val="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view3D>
      <c:rotX val="30"/>
      <c:rotY val="0"/>
      <c:depthPercent val="100"/>
      <c:rAngAx val="0"/>
      <c:perspective val="30"/>
    </c:view3D>
    <c:floor>
      <c:thickness val="0"/>
    </c:floor>
    <c:sideWall>
      <c:thickness val="0"/>
    </c:sideWall>
    <c:backWall>
      <c:thickness val="0"/>
    </c:backWall>
    <c:plotArea>
      <c:layout/>
      <c:pie3DChart>
        <c:varyColors val="1"/>
        <c:ser>
          <c:idx val="0"/>
          <c:order val="0"/>
          <c:tx>
            <c:strRef>
              <c:f>Sheet1!$B$1</c:f>
              <c:strCache>
                <c:ptCount val="1"/>
                <c:pt idx="0">
                  <c:v>财政拨款支出决算结构</c:v>
                </c:pt>
              </c:strCache>
            </c:strRef>
          </c:tx>
          <c:explosion val="0"/>
          <c:dPt>
            <c:idx val="0"/>
            <c:bubble3D val="0"/>
          </c:dPt>
          <c:dPt>
            <c:idx val="1"/>
            <c:bubble3D val="0"/>
          </c:dPt>
          <c:dPt>
            <c:idx val="2"/>
            <c:bubble3D val="0"/>
          </c:dPt>
          <c:dPt>
            <c:idx val="3"/>
            <c:bubble3D val="0"/>
          </c:dPt>
          <c:dPt>
            <c:idx val="4"/>
            <c:bubble3D val="0"/>
          </c:dPt>
          <c:dPt>
            <c:idx val="5"/>
            <c:bubble3D val="0"/>
          </c:dPt>
          <c:dPt>
            <c:idx val="6"/>
            <c:bubble3D val="0"/>
          </c:dPt>
          <c:dLbls>
            <c:dLbl>
              <c:idx val="0"/>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altLang="en-US"/>
                      <a:t>22.03%</a:t>
                    </a:r>
                    <a:endParaRPr lang="en-US" altLang="en-US"/>
                  </a:p>
                </c:rich>
              </c:tx>
              <c:dLblPos val="bestFit"/>
              <c:showLegendKey val="0"/>
              <c:showVal val="0"/>
              <c:showCatName val="0"/>
              <c:showSerName val="0"/>
              <c:showPercent val="1"/>
              <c:showBubbleSize val="0"/>
              <c:extLst>
                <c:ext xmlns:c15="http://schemas.microsoft.com/office/drawing/2012/chart" uri="{CE6537A1-D6FC-4f65-9D91-7224C49458BB}"/>
              </c:extLst>
            </c:dLbl>
            <c:dLbl>
              <c:idx val="1"/>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altLang="en-US"/>
                      <a:t>7.58</a:t>
                    </a:r>
                    <a:r>
                      <a:rPr lang="en-US" altLang="zh-CN"/>
                      <a:t>%</a:t>
                    </a:r>
                    <a:endParaRPr lang="en-US" altLang="en-US"/>
                  </a:p>
                </c:rich>
              </c:tx>
              <c:dLblPos val="bestFit"/>
              <c:showLegendKey val="0"/>
              <c:showVal val="0"/>
              <c:showCatName val="0"/>
              <c:showSerName val="0"/>
              <c:showPercent val="1"/>
              <c:showBubbleSize val="0"/>
              <c:extLst>
                <c:ext xmlns:c15="http://schemas.microsoft.com/office/drawing/2012/chart" uri="{CE6537A1-D6FC-4f65-9D91-7224C49458BB}"/>
              </c:extLst>
            </c:dLbl>
            <c:dLbl>
              <c:idx val="2"/>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sz="1000" b="0" i="0" u="none" strike="noStrike" baseline="0"/>
                      <a:t>9.23% </a:t>
                    </a:r>
                    <a:endParaRPr lang="en-US" altLang="en-US"/>
                  </a:p>
                </c:rich>
              </c:tx>
              <c:dLblPos val="bestFit"/>
              <c:showLegendKey val="0"/>
              <c:showVal val="0"/>
              <c:showCatName val="0"/>
              <c:showSerName val="0"/>
              <c:showPercent val="1"/>
              <c:showBubbleSize val="0"/>
              <c:extLst>
                <c:ext xmlns:c15="http://schemas.microsoft.com/office/drawing/2012/chart" uri="{CE6537A1-D6FC-4f65-9D91-7224C49458BB}"/>
              </c:extLst>
            </c:dLbl>
            <c:dLbl>
              <c:idx val="3"/>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sz="1000" b="0" i="0" u="none" strike="noStrike" baseline="0"/>
                      <a:t>36.36% </a:t>
                    </a:r>
                    <a:endParaRPr lang="en-US" altLang="en-US"/>
                  </a:p>
                </c:rich>
              </c:tx>
              <c:dLblPos val="bestFit"/>
              <c:showLegendKey val="0"/>
              <c:showVal val="0"/>
              <c:showCatName val="0"/>
              <c:showSerName val="0"/>
              <c:showPercent val="1"/>
              <c:showBubbleSize val="0"/>
              <c:extLst>
                <c:ext xmlns:c15="http://schemas.microsoft.com/office/drawing/2012/chart" uri="{CE6537A1-D6FC-4f65-9D91-7224C49458BB}"/>
              </c:extLst>
            </c:dLbl>
            <c:dLbl>
              <c:idx val="4"/>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sz="1000" b="0" i="0" u="none" strike="noStrike" baseline="0"/>
                      <a:t>12.88% </a:t>
                    </a:r>
                    <a:endParaRPr lang="en-US" altLang="en-US"/>
                  </a:p>
                </c:rich>
              </c:tx>
              <c:dLblPos val="bestFit"/>
              <c:showLegendKey val="0"/>
              <c:showVal val="0"/>
              <c:showCatName val="0"/>
              <c:showSerName val="0"/>
              <c:showPercent val="1"/>
              <c:showBubbleSize val="0"/>
              <c:extLst>
                <c:ext xmlns:c15="http://schemas.microsoft.com/office/drawing/2012/chart" uri="{CE6537A1-D6FC-4f65-9D91-7224C49458BB}"/>
              </c:extLst>
            </c:dLbl>
            <c:dLbl>
              <c:idx val="5"/>
              <c:layout>
                <c:manualLayout>
                  <c:x val="0.0764669691390914"/>
                  <c:y val="0.0910681520847046"/>
                </c:manualLayout>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sz="1000" b="0" i="0" u="none" strike="noStrike" baseline="0"/>
                      <a:t>11.07% </a:t>
                    </a:r>
                    <a:endParaRPr lang="en-US" altLang="en-US"/>
                  </a:p>
                </c:rich>
              </c:tx>
              <c:dLblPos val="bestFit"/>
              <c:showLegendKey val="0"/>
              <c:showVal val="0"/>
              <c:showCatName val="0"/>
              <c:showSerName val="0"/>
              <c:showPercent val="1"/>
              <c:showBubbleSize val="0"/>
              <c:extLst>
                <c:ext xmlns:c15="http://schemas.microsoft.com/office/drawing/2012/chart" uri="{CE6537A1-D6FC-4f65-9D91-7224C49458BB}">
                  <c15:layout/>
                </c:ext>
              </c:extLst>
            </c:dLbl>
            <c:dLbl>
              <c:idx val="6"/>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sz="1000" b="0" i="0" u="none" strike="noStrike" baseline="0"/>
                      <a:t>0.85% </a:t>
                    </a:r>
                    <a:endParaRPr lang="en-US" altLang="en-US"/>
                  </a:p>
                </c:rich>
              </c:tx>
              <c:dLblPos val="bestFit"/>
              <c:showLegendKey val="0"/>
              <c:showVal val="0"/>
              <c:showCatName val="0"/>
              <c:showSerName val="0"/>
              <c:showPercent val="1"/>
              <c:showBubbleSize val="0"/>
              <c:extLst>
                <c:ext xmlns:c15="http://schemas.microsoft.com/office/drawing/2012/chart" uri="{CE6537A1-D6FC-4f65-9D91-7224C49458BB}"/>
              </c:extLst>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ext>
            </c:extLst>
          </c:dLbls>
          <c:cat>
            <c:strRef>
              <c:f>Sheet1!$A$2:$A$8</c:f>
              <c:strCache>
                <c:ptCount val="7"/>
                <c:pt idx="0">
                  <c:v>一般公共服务</c:v>
                </c:pt>
                <c:pt idx="1">
                  <c:v>社会保障和就业</c:v>
                </c:pt>
                <c:pt idx="2">
                  <c:v>卫生健康</c:v>
                </c:pt>
                <c:pt idx="3">
                  <c:v>节能环保</c:v>
                </c:pt>
                <c:pt idx="4">
                  <c:v>城乡社区</c:v>
                </c:pt>
                <c:pt idx="5">
                  <c:v>农林水</c:v>
                </c:pt>
                <c:pt idx="6">
                  <c:v>住房保障</c:v>
                </c:pt>
              </c:strCache>
            </c:strRef>
          </c:cat>
          <c:val>
            <c:numRef>
              <c:f>Sheet1!$B$2:$B$8</c:f>
              <c:numCache>
                <c:formatCode>0.00%</c:formatCode>
                <c:ptCount val="7"/>
                <c:pt idx="0">
                  <c:v>0.2203</c:v>
                </c:pt>
                <c:pt idx="1">
                  <c:v>0.0758</c:v>
                </c:pt>
                <c:pt idx="2">
                  <c:v>0.0923</c:v>
                </c:pt>
                <c:pt idx="3">
                  <c:v>0.3636</c:v>
                </c:pt>
                <c:pt idx="4">
                  <c:v>0.1288</c:v>
                </c:pt>
                <c:pt idx="5">
                  <c:v>0.1107</c:v>
                </c:pt>
                <c:pt idx="6">
                  <c:v>0.0085</c:v>
                </c:pt>
              </c:numCache>
            </c:numRef>
          </c:val>
        </c:ser>
        <c:dLbls>
          <c:showLegendKey val="0"/>
          <c:showVal val="0"/>
          <c:showCatName val="0"/>
          <c:showSerName val="0"/>
          <c:showPercent val="1"/>
          <c:showBubbleSize val="0"/>
        </c:dLbls>
      </c:pie3D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30"/>
    <customShpInfo spid="_x0000_s1029"/>
    <customShpInfo spid="_x0000_s1027"/>
    <customShpInfo spid="_x0000_s1028"/>
    <customShpInfo spid="_x0000_s1026"/>
    <customShpInfo spid="_x0000_s1031"/>
    <customShpInfo spid="_x0000_s1032"/>
    <customShpInfo spid="_x0000_s1033"/>
    <customShpInfo spid="_x0000_s1034"/>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F62D654-CD75-48D0-9323-5032ABF9E523}">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22</Pages>
  <Words>6039</Words>
  <Characters>6538</Characters>
  <Lines>48</Lines>
  <Paragraphs>13</Paragraphs>
  <TotalTime>340</TotalTime>
  <ScaleCrop>false</ScaleCrop>
  <LinksUpToDate>false</LinksUpToDate>
  <CharactersWithSpaces>6566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2020-09-10T05:14:00Z</dcterms:created>
  <dc:creator>Administrator</dc:creator>
  <cp:lastModifiedBy>Administrator</cp:lastModifiedBy>
  <cp:lastPrinted>2020-09-15T05:39:00Z</cp:lastPrinted>
  <dcterms:modified xsi:type="dcterms:W3CDTF">2024-09-06T05:57:17Z</dcterms:modified>
  <cp:revision>104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253C86445D254225B4EE2BE28E2DDEB4_12</vt:lpwstr>
  </property>
</Properties>
</file>